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B4F0" w14:textId="715F93CA" w:rsidR="00CB7C43" w:rsidRDefault="00BC0437">
      <w:pPr>
        <w:spacing w:after="0" w:line="240" w:lineRule="auto"/>
        <w:jc w:val="right"/>
        <w:rPr>
          <w:rFonts w:ascii="Liberation Serif" w:eastAsia="Liberation Serif" w:hAnsi="Liberation Serif" w:cs="Liberation Serif"/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3AE380F" wp14:editId="1DA946CE">
            <wp:simplePos x="0" y="0"/>
            <wp:positionH relativeFrom="column">
              <wp:posOffset>-243839</wp:posOffset>
            </wp:positionH>
            <wp:positionV relativeFrom="paragraph">
              <wp:posOffset>-240664</wp:posOffset>
            </wp:positionV>
            <wp:extent cx="3790950" cy="1181100"/>
            <wp:effectExtent l="0" t="0" r="0" b="0"/>
            <wp:wrapNone/>
            <wp:docPr id="1" name="image1.png" descr="logo_descriptor_horizon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_descriptor_horizonta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8BEBD0" w14:textId="5FE9CD71" w:rsidR="00CB7C43" w:rsidRDefault="00BC0437">
      <w:pPr>
        <w:spacing w:after="0" w:line="240" w:lineRule="auto"/>
        <w:jc w:val="righ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                                  </w:t>
      </w:r>
    </w:p>
    <w:p w14:paraId="7BE28478" w14:textId="77777777" w:rsidR="00CB7C43" w:rsidRDefault="00CB7C43">
      <w:pPr>
        <w:spacing w:after="0" w:line="240" w:lineRule="auto"/>
        <w:ind w:left="4956" w:firstLine="707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3C00DDD0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084A55E6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26CE0A29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496883D0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49958FE3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mallCaps/>
          <w:color w:val="000000"/>
        </w:rPr>
      </w:pPr>
    </w:p>
    <w:p w14:paraId="09BDE2B1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mallCaps/>
          <w:color w:val="000000"/>
        </w:rPr>
      </w:pPr>
    </w:p>
    <w:p w14:paraId="54AE5101" w14:textId="77777777" w:rsidR="00CB7C43" w:rsidRDefault="00BC0437">
      <w:pPr>
        <w:pageBreakBefore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  <w:r>
        <w:rPr>
          <w:rFonts w:ascii="Liberation Serif" w:eastAsia="Liberation Serif" w:hAnsi="Liberation Serif" w:cs="Liberation Serif"/>
          <w:b/>
          <w:bCs/>
          <w:color w:val="000000"/>
        </w:rPr>
        <w:lastRenderedPageBreak/>
        <w:t>Условия договора, обоснование Н(М)ЦД:</w:t>
      </w:r>
    </w:p>
    <w:p w14:paraId="3E666FC0" w14:textId="77777777" w:rsidR="00CB7C43" w:rsidRDefault="00CB7C43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04A58786" w14:textId="77777777" w:rsidR="00CB7C43" w:rsidRDefault="00CB7C43">
      <w:pPr>
        <w:spacing w:after="0" w:line="240" w:lineRule="auto"/>
        <w:ind w:left="992"/>
        <w:jc w:val="right"/>
        <w:rPr>
          <w:rFonts w:ascii="Liberation Serif" w:eastAsia="Liberation Serif" w:hAnsi="Liberation Serif" w:cs="Liberation Serif"/>
          <w:color w:val="000000"/>
        </w:rPr>
      </w:pPr>
    </w:p>
    <w:p w14:paraId="5D4CD135" w14:textId="77777777" w:rsidR="00CB7C43" w:rsidRDefault="00BC0437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Техническое задание </w:t>
      </w:r>
    </w:p>
    <w:p w14:paraId="6702BA90" w14:textId="77777777" w:rsidR="00CB7C43" w:rsidRDefault="00BC0437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  <w:sz w:val="21"/>
          <w:szCs w:val="21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на разработку </w:t>
      </w:r>
      <w:r>
        <w:rPr>
          <w:rFonts w:ascii="Liberation Serif" w:eastAsia="Liberation Serif" w:hAnsi="Liberation Serif" w:cs="Liberation Serif"/>
          <w:b/>
          <w:bCs/>
          <w:color w:val="FF0000"/>
          <w:sz w:val="24"/>
          <w:szCs w:val="24"/>
        </w:rPr>
        <w:t>рабочей и сметной документации по объекту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: «Система управления и регулирования производительности сетевых насосов насосной станции №7 третьего подъёма ХВС г. Екатеринбурга с применением частотного регулирования»</w:t>
      </w:r>
    </w:p>
    <w:p w14:paraId="6EBC1E1F" w14:textId="77777777" w:rsidR="00CB7C43" w:rsidRDefault="00CB7C43">
      <w:pPr>
        <w:spacing w:after="0" w:line="240" w:lineRule="auto"/>
        <w:ind w:left="992"/>
        <w:jc w:val="right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5"/>
        <w:tblW w:w="10490" w:type="dxa"/>
        <w:tblInd w:w="-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3237"/>
        <w:gridCol w:w="6662"/>
      </w:tblGrid>
      <w:tr w:rsidR="00CB7C43" w14:paraId="241D76EB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761C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EAE9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C535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данные и требования</w:t>
            </w:r>
          </w:p>
        </w:tc>
      </w:tr>
      <w:tr w:rsidR="00CB7C43" w14:paraId="0393A499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E82B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8872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5A8E" w14:textId="77777777" w:rsidR="00CB7C43" w:rsidRDefault="00BC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B7C43" w14:paraId="3386F824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F19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80CA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B600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Производственная программа МУП «Водоканал» на 2026 год, п. 12, ст.45003, ЦФО ДЭКИПиА на 2026 год.</w:t>
            </w:r>
          </w:p>
        </w:tc>
      </w:tr>
      <w:tr w:rsidR="00CB7C43" w14:paraId="5C0C56AC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4442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873F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ОКВЭД, ОКПД2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4B9D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ОКВЭД: 71.12.1 </w:t>
            </w:r>
          </w:p>
          <w:p w14:paraId="281F83B4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ОКПД2: 71.12.13.000</w:t>
            </w:r>
          </w:p>
        </w:tc>
      </w:tr>
      <w:tr w:rsidR="00CB7C43" w14:paraId="12C48300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ECDC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8EBC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выполняемых работ (количество, виды, требование к работам, к качеству работ)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A1D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выполняемых работ - 1 работа выполняется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в 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(Три) этапа.</w:t>
            </w:r>
          </w:p>
          <w:p w14:paraId="7019328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Этап: Разработка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рабочей и сметной документации на Капитальный ремонт с заменой существующих и установкой дополнительных ячеек РП-601 (10 кВ) насосной станции №7 третьего подъёма ХВС г. Екатеринбурга по адресу Кольцовский тракт 10-й км в объеме:</w:t>
            </w:r>
          </w:p>
          <w:p w14:paraId="11B56B0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замены РУ 10 кВ на новые ячейки с выкатными вакуумными выключателями, отечественного производителя, внесённого в перечень МинПромТорга, наличием сервисных центров производителя на территории Уральского Федерального округа.</w:t>
            </w:r>
          </w:p>
          <w:p w14:paraId="77D86FC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(комплектация ячеек согласно согласованному опросному листу);</w:t>
            </w:r>
          </w:p>
          <w:p w14:paraId="4544AC3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установки и привязки шкафа собственных нужд РУ 10 кВ;</w:t>
            </w:r>
          </w:p>
          <w:p w14:paraId="768E7C2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установки и привязки шкафа оперативного тока РУ 10 кВ;</w:t>
            </w:r>
          </w:p>
          <w:p w14:paraId="533F139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привязку заменяемых и вновь устанавливаемых шкафов к системам собственных нужд и технологическим системам (автоматика управления двигателей) Насосной станции, защитам и автоматике ПС 110/10 кВ «Нижне-Исетская», ПС 110/10 кВ «Алмазная». Привязка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выполняется с заменой существующих контрольных кабелей;</w:t>
            </w:r>
          </w:p>
          <w:p w14:paraId="35DFF6F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замена существующих отходящих кабельных линии 6 кВ, включая кабельные муфты.</w:t>
            </w:r>
          </w:p>
          <w:p w14:paraId="6C11B9B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защиты от дуговых замыканий на базе устройства ОВОД-Л;</w:t>
            </w:r>
          </w:p>
          <w:p w14:paraId="7F0EA1D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цепей РЗА на устройстве защиты и автоматики Сириус-2;</w:t>
            </w:r>
          </w:p>
          <w:p w14:paraId="6F63480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вводной ячейке установить щитовой цифровой прибор контроля качества электроэнергии ЩМК96-100В-5А-1REC-RS-4П-К-УХЛ3.1;</w:t>
            </w:r>
          </w:p>
          <w:p w14:paraId="4ED0660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Предусмотреть диспетчерские наименования ячеек нового РУ 10 кВ.</w:t>
            </w:r>
          </w:p>
          <w:p w14:paraId="2BE6064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рабочей документации:</w:t>
            </w:r>
          </w:p>
          <w:p w14:paraId="328B004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общие данные;</w:t>
            </w:r>
          </w:p>
          <w:p w14:paraId="19963F4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однолинейная схема;</w:t>
            </w:r>
          </w:p>
          <w:p w14:paraId="3406ED2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выбор оборудования;</w:t>
            </w:r>
          </w:p>
          <w:p w14:paraId="08C3A60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 шкафа оперативного тока (ШОТ) для РУ-10</w:t>
            </w:r>
          </w:p>
          <w:p w14:paraId="54C5971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нового оперативного тока РУ-10 от ШОТ</w:t>
            </w:r>
          </w:p>
          <w:p w14:paraId="3B411AF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новых СН РУ-10 кВ, схемы принципиальные</w:t>
            </w:r>
          </w:p>
          <w:p w14:paraId="4BB3C9D2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схемы электрические принципиальные вновь устанавливаемых ячеек с привязкой к сущ. Оборудованию и оборудованию устанавливаемого в рамках реализации проекта;</w:t>
            </w:r>
          </w:p>
          <w:p w14:paraId="4B526C8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перечни элементов к схемам;</w:t>
            </w:r>
          </w:p>
          <w:p w14:paraId="341B79A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схемы электрические подключения;</w:t>
            </w:r>
          </w:p>
          <w:p w14:paraId="1D179F8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новых контрольных связей РУ-10 с сущ. и вновь устанавливаемым в рамках проекта оборудованием.</w:t>
            </w:r>
          </w:p>
          <w:p w14:paraId="2E4F513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установочные чертежи и рама под оборудование;</w:t>
            </w:r>
          </w:p>
          <w:p w14:paraId="33EC532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 прокладки силовых и контрольных кабелей по сущ. трассам;</w:t>
            </w:r>
          </w:p>
          <w:p w14:paraId="0C3F99C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кабельный журнал силовых и контрольных связей;</w:t>
            </w:r>
          </w:p>
          <w:p w14:paraId="7EFC06A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опросные листы на заказ оборудования; </w:t>
            </w:r>
          </w:p>
          <w:p w14:paraId="2597B21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покупных изделий;</w:t>
            </w:r>
          </w:p>
          <w:p w14:paraId="47992282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Локальный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сметный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расчёт</w:t>
            </w:r>
          </w:p>
          <w:p w14:paraId="58CDA77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Этап: Разработка рабочей и сметной документации «Система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управления и регулирования производительности сетевых насосов 4, 5, 6 насосной станции №7 третьего подъёма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ХВС г. Екатеринбурга с применением двух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высоковольтных частотных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преобразователей в объеме»:</w:t>
            </w:r>
          </w:p>
          <w:p w14:paraId="649F9DE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управления регулирования производительности сетевых насосов насосной станции №7 третьего подъема ХВС, г. Екатеринбурга» МУП «Водоканал» включает в себя комплекс современного электротехнического оборудования (включая высоковольтное), устройств автоматики, пусковой, защитной и регулирующей аппаратуры, приборов, датчиков, контроллеров, кабельных проводок и программного обеспечения, обеспечивающих:</w:t>
            </w:r>
          </w:p>
          <w:p w14:paraId="5A79C74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требуемые режимы управления и контроль процессов поочередного прямого пуска с соблюдением всех требуемых защит и блокировок группы насосных агрегатов с асинхронными двигателями;</w:t>
            </w:r>
          </w:p>
          <w:p w14:paraId="0CDE4A7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давления в напорном коллекторе при помощи преобразователя частоты высоковольтного многоуровневого, работающего поочерёдно с электродвигателями НА4 или НА5;</w:t>
            </w:r>
          </w:p>
          <w:p w14:paraId="46DB1A4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ручного и автоматизированного управления насосными агрегатами и их напорных задвижек (НЗ НА) с соблюдением всех необходимых электрических и технологических защит и блокировок;</w:t>
            </w:r>
          </w:p>
          <w:p w14:paraId="5E8D1E3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локального управления положением НЗ НА с целью поддержания заданного давления в отходящих трубопроводах.</w:t>
            </w:r>
          </w:p>
          <w:p w14:paraId="66CC214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p6e3bu7206y8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создания СИСТЕМЫ:</w:t>
            </w:r>
          </w:p>
          <w:p w14:paraId="40268F9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заданного давления в напорном коллекторе насосной станции (НС).</w:t>
            </w:r>
          </w:p>
          <w:p w14:paraId="225E8C8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Снижение эксплуатационных затрат.</w:t>
            </w:r>
          </w:p>
          <w:p w14:paraId="20423BF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Экономия энергоресурсов.</w:t>
            </w:r>
          </w:p>
          <w:p w14:paraId="28031E3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Повышение оперативности действий технологического персонала и централизация управления.</w:t>
            </w:r>
          </w:p>
          <w:p w14:paraId="1AA9FEC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всех требуемых защит и блокировок.</w:t>
            </w:r>
          </w:p>
          <w:p w14:paraId="069F6B3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технологических параметров работы НС.</w:t>
            </w:r>
          </w:p>
          <w:p w14:paraId="2CDFDCF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оптимальных режимов эксплуатации НА4 и НА5, в т.ч. снижение ударных нагрузок на сеть за счет плавного пуска и останова НА при работе от ПЧВМ</w:t>
            </w:r>
            <w:bookmarkStart w:id="1" w:name="ncwc8cqloqtd" w:colFirst="0" w:colLast="0"/>
            <w:bookmarkStart w:id="2" w:name="jtoojjcjszhp" w:colFirst="0" w:colLast="0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32BCE7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возможности ретроспективного просмотра параметров работы НС.</w:t>
            </w:r>
          </w:p>
          <w:p w14:paraId="629D491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tog6xrgyb1bw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СИСТЕМЫ:</w:t>
            </w:r>
          </w:p>
          <w:p w14:paraId="470982E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9ui0odt09unw" w:colFirst="0" w:colLast="0"/>
            <w:bookmarkStart w:id="5" w:name="uo5su3ehr15i" w:colFirst="0" w:colLast="0"/>
            <w:bookmarkStart w:id="6" w:name="abbbbdyl5xg4" w:colFirst="0" w:colLast="0"/>
            <w:bookmarkStart w:id="7" w:name="e2kmonw12hrd" w:colFirst="0" w:colLast="0"/>
            <w:bookmarkStart w:id="8" w:name="sne54ljfrb06" w:colFirst="0" w:colLast="0"/>
            <w:bookmarkStart w:id="9" w:name="huaaptidpsoc" w:colFirst="0" w:colLast="0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заданного давления в диктующих точках напорного коллектора НС.</w:t>
            </w:r>
          </w:p>
          <w:p w14:paraId="52EF63F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ручного и автоматического режимов управления НА с соблюдением всех необходимых электрических и технологических защит и блокировок.</w:t>
            </w:r>
          </w:p>
          <w:p w14:paraId="44DB776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функций контроля.</w:t>
            </w:r>
          </w:p>
          <w:p w14:paraId="327FFDB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Управление исполнительными механизмами.</w:t>
            </w:r>
          </w:p>
          <w:p w14:paraId="733411E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_igs2vrv80zxe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структуре:</w:t>
            </w:r>
          </w:p>
          <w:p w14:paraId="2FA03B1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_nm5oy618suv8" w:colFirst="0" w:colLast="0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представляет собой трехуровневую систему управления с возможностью переключения на удаленный диспетчерский уровень управления.</w:t>
            </w:r>
          </w:p>
          <w:p w14:paraId="3106B4C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выполняет функции управления основными насосными агрегатами в автоматическом и ручном режимах. Для управления приводами в ручном режиме предусмотрены дополнительные режимы: «Местный» - управление от местных постов, расположенных на приводах задвижек и «Дистанционный» - управление с передней панели шкафа ШУ. </w:t>
            </w:r>
          </w:p>
          <w:p w14:paraId="6952C3B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разработке документации определить необходимость включения в систему функций управления и контроля низковольтных НА и их НЗ НА и включения эти механизмов в общую концепцию Системы в качестве дополнительных НА и НЗ НА, с внесением советующих документов в проект.     </w:t>
            </w:r>
          </w:p>
          <w:p w14:paraId="272BE40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СИСТЕМЫ состоит из следующих уровней:</w:t>
            </w:r>
          </w:p>
          <w:p w14:paraId="59D7CD7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Уровень управления всеми НА и НЗ НА при помощи ПЛК шкафа ШУН.</w:t>
            </w:r>
          </w:p>
          <w:p w14:paraId="46F3124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Уровень автоматизированного управления с рабочего места оператора, расположенного в операторской в здании насосной (АРМ). </w:t>
            </w:r>
          </w:p>
          <w:p w14:paraId="7611B7E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 информационного обмена данными внутри Системы зависимости от типа передаваемых данных должны подразделяться:</w:t>
            </w:r>
          </w:p>
          <w:p w14:paraId="20CA533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«релейный контакт» (напряжение пост. тока =24 В и переменного тока ~220 В).</w:t>
            </w:r>
          </w:p>
          <w:p w14:paraId="0CE76DE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«открытый коллектор» (напряжение пост. тока =24 В).</w:t>
            </w:r>
          </w:p>
          <w:p w14:paraId="256EFEB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выходные сигналы типа «релейный контакт» (напряжение пост. тока =24 В и переменного тока ~220 В);</w:t>
            </w:r>
          </w:p>
          <w:p w14:paraId="2E2FAD1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«открытый коллектор» (напряжение пост. тока =24 В).</w:t>
            </w:r>
          </w:p>
          <w:p w14:paraId="7610450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Аналоговые входные сигналы 4...20 мА;</w:t>
            </w:r>
          </w:p>
          <w:p w14:paraId="693569D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Аналоговые выходные сигналы 4...20 мА;</w:t>
            </w:r>
          </w:p>
          <w:p w14:paraId="412B76B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Сетевые средства обмена данными по интерфейсу RS-485, Ethernet между контроллерами шкафов управления, а также ПЧ.</w:t>
            </w:r>
          </w:p>
          <w:p w14:paraId="3B770BA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_wh4t8dl1ya8s" w:colFirst="0" w:colLast="0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Информационной обмен в пределах НС должен осуществляться по кабельным линиям.</w:t>
            </w:r>
          </w:p>
          <w:p w14:paraId="6105C03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_4k256v8u4aeq" w:colFirst="0" w:colLast="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режимам функционирования.</w:t>
            </w:r>
          </w:p>
          <w:p w14:paraId="34AC7FB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_osu071wep9m3" w:colFirst="0" w:colLast="0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режимам работы:</w:t>
            </w:r>
          </w:p>
          <w:p w14:paraId="58AD232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автоматизированный режим с плавным / прямым запуском и остановом, регулированием, автоматическим контролем функционирования, диагностикой, а также аварийным остановом   НА.  Параметры функционирования НС задаются оператором насосной с панели   АРМ.</w:t>
            </w:r>
          </w:p>
          <w:p w14:paraId="0529FFB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режим «Ручного» управления (ремонтный режим), который предполагает управление выбранными НА и их напорными задвижками, без учета состояния остальных НА при помощи органов управления расположенных на передней панели шкафа управления соответствующего насоса с соблюдением всех необходимых технологических защит и блокировок.</w:t>
            </w:r>
          </w:p>
          <w:p w14:paraId="3744991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режимом работы является автоматизированный режим работы.</w:t>
            </w:r>
          </w:p>
          <w:p w14:paraId="5DB2511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грубое регулирование давления за счет изменения количества одновременно включенных НА.</w:t>
            </w:r>
          </w:p>
          <w:p w14:paraId="1CDCABC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плавное поддержание давления и задание графика давления в напорном коллекторе НС.</w:t>
            </w:r>
          </w:p>
          <w:p w14:paraId="58B5D5E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регулирования скорости вращения НА, подключенного от ПЧ.</w:t>
            </w:r>
          </w:p>
          <w:p w14:paraId="52DB704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возможность задания режима работы для каждого НА вместе с НЗ НА («Ручной» / «Отключен» / «Автоматический») при помощи ключей на передней панели ШУН.</w:t>
            </w:r>
          </w:p>
          <w:p w14:paraId="4770506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возможность задания режима работы для каждой заслонки («Ручной» / «Отключен» / «Автоматический») при помощи ключей, устанавливаемых на передней панели шкафа ШУН</w:t>
            </w:r>
          </w:p>
          <w:p w14:paraId="3ACA5B9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Технические и программные средства должны обеспечивать возможность дальнейшего внедрения режима «Дистанционного удаленного управления» (программный переключатель и применение средств автоматизации с унифицированными протоколами передачи данных). Сам режим «Дистанционного удаленного управления» проектом не рассматривать. </w:t>
            </w:r>
          </w:p>
          <w:p w14:paraId="00294CB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выбор режима автоматического включения/отключения Дополнительного НА.  Включение Дополнительного НА обеспечивается при понижении диктующего давления при достижении максимально преднастроенной частоты на выходе ПЧ; отключение Дополнительного НА - при снижении до минимально преднастроенной частоты на выходе ПЧ. Алгоритмы такого режима должны исключать колебания давления в коллекторе свыше 10% от уставки. Максимальное/Минимальное   значения частоты на выходе ПЧ для включения/отключения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Дополнительного НА задаются оперативно-техническим персоналом </w:t>
            </w:r>
          </w:p>
          <w:p w14:paraId="4B7192B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запуск НА (как при прямом пуске, так и в режиме управляемого пуска) только при закрытой заслонке в напорном трубопроводе запускаемого НА, а также при разрешающем давлении во всасывающем трубопроводе запускаемого НА, равном 0,01 МПа (давление контролируется электроконтактным датчиком). </w:t>
            </w:r>
          </w:p>
          <w:p w14:paraId="5F15C50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ibc0zggjbf8j" w:colFirst="0" w:colLast="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блокировкам и защитам.</w:t>
            </w:r>
          </w:p>
          <w:p w14:paraId="61348A4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Документацией должны быть предусмотрены следующие основные технологические и электрические блокировки и защиты:</w:t>
            </w:r>
          </w:p>
          <w:p w14:paraId="37A91BA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управления НА в автоматическом и ручном режимах.</w:t>
            </w:r>
          </w:p>
          <w:p w14:paraId="6D97DF4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включения режима работы НА «от сети» и «от ПЧ».</w:t>
            </w:r>
          </w:p>
          <w:p w14:paraId="765D139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подключения более одного НА к ПЧ.</w:t>
            </w:r>
          </w:p>
          <w:p w14:paraId="6BC634B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одновременного управления НЗ НА в ручном местном и ручном дистанционном режимах.  </w:t>
            </w:r>
          </w:p>
          <w:p w14:paraId="2DE04F3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одновременного включения режима открывания и закрывания НЗ НА.  </w:t>
            </w:r>
          </w:p>
          <w:p w14:paraId="114C57B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включения НА на незакрытую задвижку. </w:t>
            </w:r>
          </w:p>
          <w:p w14:paraId="38CCB8D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включения высоковольтных выключателей находящихся в выкаченном положении в автоматическом режиме управления.</w:t>
            </w:r>
          </w:p>
          <w:p w14:paraId="20DB783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включения выключателей, питающих ПЧ с разных вводов.</w:t>
            </w:r>
          </w:p>
          <w:p w14:paraId="1E9F3EE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управления выключателями в автоматическом и ручном режимах.</w:t>
            </w:r>
          </w:p>
          <w:p w14:paraId="5E3CFFDA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30498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рабочей документации:</w:t>
            </w:r>
          </w:p>
          <w:p w14:paraId="0881992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общие данные;</w:t>
            </w:r>
          </w:p>
          <w:p w14:paraId="6EDC861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однолинейная схема;</w:t>
            </w:r>
          </w:p>
          <w:p w14:paraId="1D10166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 оборудования;</w:t>
            </w:r>
          </w:p>
          <w:p w14:paraId="0D38AB1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выбор шкафа управления (ШУ) </w:t>
            </w:r>
          </w:p>
          <w:p w14:paraId="5207546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перечни элементов к схемам;</w:t>
            </w:r>
          </w:p>
          <w:p w14:paraId="7E3D300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схемы электрические подключения;</w:t>
            </w:r>
          </w:p>
          <w:p w14:paraId="0C697DF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установочные чертежи и рама под оборудование;</w:t>
            </w:r>
          </w:p>
          <w:p w14:paraId="4612A11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 прокладки силовых и контрольных кабелей по сущ. трассам;</w:t>
            </w:r>
          </w:p>
          <w:p w14:paraId="53BA847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кабельный журнал силовых и контрольных связей;</w:t>
            </w:r>
          </w:p>
          <w:p w14:paraId="35796B6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опросные листы на заказ оборудования; </w:t>
            </w:r>
          </w:p>
          <w:p w14:paraId="0E1B216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покупных изделий;</w:t>
            </w:r>
          </w:p>
          <w:p w14:paraId="41DCEFA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Локальный сметный расчёт</w:t>
            </w:r>
          </w:p>
          <w:p w14:paraId="53E23926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B74717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2F007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Этап: Разработка рабочей и сметной документации «Система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управления и регулирования производительности сетевых насосов 1, 2, 3 насосной станции №7 третьего подъёма ХВС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Екатеринбурга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применением двух высоковольтных частотных преобразователей» в объеме:</w:t>
            </w:r>
          </w:p>
          <w:p w14:paraId="1832B20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управления регулирования производительности сетевых насосов насосной станции №7 третьего подъема ХВС, г. Екатеринбурга» МУП «Водоканал» включает в себя комплекс современного электротехнического оборудования (включая высоковольтное), устройств автоматики, пусковой, защитной и регулирующей аппаратуры, приборов, датчиков, контроллеров, кабельных проводок и программного обеспечения, обеспечивающих:</w:t>
            </w:r>
          </w:p>
          <w:p w14:paraId="6BE45842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требуемые режимы управления и контроль процессов поочередного прямого пуска с соблюдением всех требуемых защит и блокировок группы насосных агрегатов с асинхронными двигателями;</w:t>
            </w:r>
          </w:p>
          <w:p w14:paraId="321AD22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поддержания расхода в напорном коллекторе при помощи преобразователя частоты высоковольтного многоуровневого, работающего поочерёдно с электродвигателями НА1 или НА2;</w:t>
            </w:r>
          </w:p>
          <w:p w14:paraId="49FC73C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ручного и автоматизированного управления насосными агрегатами и их напорных задвижек (НЗ НА) с соблюдением всех необходимых электрических и технологических защит и блокировок;</w:t>
            </w:r>
          </w:p>
          <w:p w14:paraId="74F2D58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локального управления положением НЗ НА с целью поддержания заданного давления в отходящих трубопроводах.</w:t>
            </w:r>
          </w:p>
          <w:p w14:paraId="22F5E73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создания СИСТЕМЫ:</w:t>
            </w:r>
          </w:p>
          <w:p w14:paraId="4EB4271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заданного расхода в напорном коллекторе насосной станции (НС).</w:t>
            </w:r>
          </w:p>
          <w:p w14:paraId="704C455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Снижение эксплуатационных затрат.</w:t>
            </w:r>
          </w:p>
          <w:p w14:paraId="390E00D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Экономия энергоресурсов.</w:t>
            </w:r>
          </w:p>
          <w:p w14:paraId="6942FBE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Повышение оперативности действий технологического персонала и централизация управления.</w:t>
            </w:r>
          </w:p>
          <w:p w14:paraId="49C7289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всех требуемых защит и блокировок.</w:t>
            </w:r>
          </w:p>
          <w:p w14:paraId="786DB20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технологических параметров работы НС.</w:t>
            </w:r>
          </w:p>
          <w:p w14:paraId="235389B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Обеспечение оптимальных режимов эксплуатации НА1 и НА2, в т.ч. снижение ударных нагрузок на сеть за счет   плавного пуска и останова НА при работе от ПЧВМ. </w:t>
            </w:r>
          </w:p>
          <w:p w14:paraId="56D6FCE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возможности ретроспективного просмотра параметров работы НС.</w:t>
            </w:r>
          </w:p>
          <w:p w14:paraId="10B2334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СИСТЕМЫ:</w:t>
            </w:r>
          </w:p>
          <w:p w14:paraId="1F668F4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заданного расхода в диктующих точках напорного коллектора НС.</w:t>
            </w:r>
          </w:p>
          <w:p w14:paraId="3C925D4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ручного и автоматического режимов управления НА с соблюдением всех необходимых электрических и технологических защит и блокировок.</w:t>
            </w:r>
          </w:p>
          <w:p w14:paraId="561103C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функций контроля.</w:t>
            </w:r>
          </w:p>
          <w:p w14:paraId="65CB79E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исполнительными механизмами.</w:t>
            </w:r>
          </w:p>
          <w:p w14:paraId="4A0FA59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структуре:</w:t>
            </w:r>
          </w:p>
          <w:p w14:paraId="5550B7E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представляет собой трехуровневую систему управления с возможностью переключения на удаленный диспетчерский уровень управления.</w:t>
            </w:r>
          </w:p>
          <w:p w14:paraId="14ABB9D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выполняет функции управления основными насосными агрегатами в автоматическом и ручном режимах. Для управления приводами в ручном режиме предусмотрены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дополнительные режимы: «Местный» - управление от местных постов, расположенных на приводах задвижек и «Дистанционный» - управление с передней панели шкафа ШУ. </w:t>
            </w:r>
          </w:p>
          <w:p w14:paraId="1B04307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разработке документации определить необходимость включения в систему функций управления и контроля низковольтных НА и их НЗ НА и включения эти механизмов в общую концепцию Системы в качестве дополнительных НА и НЗ НА, с внесением советующих документов в проект.     </w:t>
            </w:r>
          </w:p>
          <w:p w14:paraId="0AC3044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СИСТЕМЫ состоит из следующих уровней:</w:t>
            </w:r>
          </w:p>
          <w:p w14:paraId="76886F4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Уровень управления всеми НА и НЗ НА при помощи ПЛК шкафа ШУН.</w:t>
            </w:r>
          </w:p>
          <w:p w14:paraId="6B222CA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Уровень автоматизированного управления с рабочего места оператора, расположенного в операторской в здании насосной  (АРМ). </w:t>
            </w:r>
          </w:p>
          <w:p w14:paraId="191789C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 информационного обмена данными внутри Системы зависимости от типа передаваемых данных должны подразделяться:</w:t>
            </w:r>
          </w:p>
          <w:p w14:paraId="370DC7C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«релейный контакт» (напряжение пост. тока =24 В и переменного тока ~220 В).</w:t>
            </w:r>
          </w:p>
          <w:p w14:paraId="26B4E18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«открытый коллектор» (напряжение пост. тока =24 В).</w:t>
            </w:r>
          </w:p>
          <w:p w14:paraId="043CA42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выходные сигналы типа «релейный контакт» (напряжение пост. тока =24 В и переменного тока ~220 В);</w:t>
            </w:r>
          </w:p>
          <w:p w14:paraId="25732BA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входные сигналы типа «открытый коллектор» (напряжение пост. тока =24 В).</w:t>
            </w:r>
          </w:p>
          <w:p w14:paraId="4E5EE00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Аналоговые входные сигналы 4...20 мА;</w:t>
            </w:r>
          </w:p>
          <w:p w14:paraId="28C4C95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Аналоговые выходные сигналы 4...20 мА;</w:t>
            </w:r>
          </w:p>
          <w:p w14:paraId="206C671F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Сетевые средства обмена данными по интерфейсу RS-485, Ethernet между контроллерами шкафов управления, а также ПЧ.</w:t>
            </w:r>
          </w:p>
          <w:p w14:paraId="79BCCE4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Информационной обмен в пределах НС должен осуществляться по кабельным линиям.</w:t>
            </w:r>
          </w:p>
          <w:p w14:paraId="5B43491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режимам функционирования.</w:t>
            </w:r>
          </w:p>
          <w:p w14:paraId="3F5817E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режимам работы:</w:t>
            </w:r>
          </w:p>
          <w:p w14:paraId="319AC2C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автоматизированный режим с плавным / прямым запуском и остановом, регулированием, автоматическим контролем функционирования, диагностикой, а также аварийным остановом   НА.  Параметры функционирования НС задаются оператором насосной с панели   АРМ.</w:t>
            </w:r>
          </w:p>
          <w:p w14:paraId="192E2FE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режим «Ручного» управления (ремонтный режим), который предполагает управление выбранными НА и их напорными задвижками, без учета состояния остальных НА при помощи органов управления расположенных на передней панели шкафа управления соответствующего насоса с соблюдением всех необходимых технологических защит и блокировок.</w:t>
            </w:r>
          </w:p>
          <w:p w14:paraId="1BF120F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режимом работы является автоматизированный режим работы.</w:t>
            </w:r>
          </w:p>
          <w:p w14:paraId="0C8B62D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грубое регулирование давления за счет изменения количества одновременно включенных НА.</w:t>
            </w:r>
          </w:p>
          <w:p w14:paraId="5A5C0FF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плавное поддержание давления и задание графика давления в напорном коллекторе НС.</w:t>
            </w:r>
          </w:p>
          <w:p w14:paraId="18DDA7F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счет регулирования скорости вращения НА, подключенного от ПЧ.</w:t>
            </w:r>
          </w:p>
          <w:p w14:paraId="0A806BE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возможность задания режима работы для каждого НА вместе с НЗ НА («Ручной» / «Отключен» / «Автоматический») при помощи ключей на передней панели ШУН.</w:t>
            </w:r>
          </w:p>
          <w:p w14:paraId="7BB8E60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возможность задания режима работы для каждой заслонки («Ручной» / «Отключен» / «Автоматический») при помощи ключей, устанавливаемых на передней панели шкафа ШУН</w:t>
            </w:r>
          </w:p>
          <w:p w14:paraId="7F5D2AE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Технические и программные средства должны обеспечивать возможность дальнейшего внедрения режима «Дистанционного удаленного управления» (программный переключатель и применение средств автоматизации с унифицированными протоколами передачи данных). Сам режим «Дистанционного удаленного управления» проектом не рассматривать. </w:t>
            </w:r>
          </w:p>
          <w:p w14:paraId="3442C44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выбор режима автоматического включения/отключения Дополнительного НА.  Включение Дополнительного НА обеспечивается при понижении диктующего давления при достижении максимально преднастроенной частоты на выходе ПЧ; отключение Дополнительного НА  -  при снижении до минимально преднастроенной частоты на выходе ПЧ. Алгоритмы такого режима должны исключать колебания давления в коллекторе свыше 10% от уставки. Максимальное/Минимальное   значения частоты на выходе ПЧ для включения/отключения Дополнитель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НА задаются оперативно-техническим персоналом </w:t>
            </w:r>
          </w:p>
          <w:p w14:paraId="007140E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запуск НА (как при прямом пуске, так и в режиме управляемого пуска) только при закрытой заслонке в напорном трубопроводе запускаемого НА, а также при разрешающем давлении во всасывающем трубопроводе запускаемого НА, равном 0,01 МПа (давление контролируется электроконтактным датчиком). </w:t>
            </w:r>
          </w:p>
          <w:p w14:paraId="13D36E4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блокировкам и защитам.</w:t>
            </w:r>
          </w:p>
          <w:p w14:paraId="31397E0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Документацией должны быть предусмотрены следующие основные технологические и электрические блокировки и защиты:</w:t>
            </w:r>
          </w:p>
          <w:p w14:paraId="05A452F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управления НА в автоматическом и ручном режимах.</w:t>
            </w:r>
          </w:p>
          <w:p w14:paraId="0C0F47A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включения режима работы НА «от сети» и «от ПЧ».</w:t>
            </w:r>
          </w:p>
          <w:p w14:paraId="413B935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подключения более одного НА к ПЧ.</w:t>
            </w:r>
          </w:p>
          <w:p w14:paraId="258F3F8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одновременного управления НЗ НА в ручном местном и ручном дистанционном режимах.  </w:t>
            </w:r>
          </w:p>
          <w:p w14:paraId="038465D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одновременного включения режима открывания и закрывания НЗ НА.  </w:t>
            </w:r>
          </w:p>
          <w:p w14:paraId="094406D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Блокировка от включения НА на незакрытую задвижку. </w:t>
            </w:r>
          </w:p>
          <w:p w14:paraId="11C6DA6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Блокировка от включения высоковольтных выключателей находящихся в выкаченном положении в автоматическом режиме управления.</w:t>
            </w:r>
          </w:p>
          <w:p w14:paraId="14B607D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включения выключателей питающих ПЧ с разных вводов.</w:t>
            </w:r>
          </w:p>
          <w:p w14:paraId="2656F20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Блокировка от одновременного управления выключателями в автоматическом и ручном режимах.</w:t>
            </w:r>
          </w:p>
          <w:p w14:paraId="70900893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A5F04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рабочей документации:</w:t>
            </w:r>
          </w:p>
          <w:p w14:paraId="58FFBDD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общие данные;</w:t>
            </w:r>
          </w:p>
          <w:p w14:paraId="6621D59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однолинейная схема;</w:t>
            </w:r>
          </w:p>
          <w:p w14:paraId="3B0BD37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 оборудования;</w:t>
            </w:r>
          </w:p>
          <w:p w14:paraId="4FBBDB9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выбор шкафа управления (ШУ) </w:t>
            </w:r>
          </w:p>
          <w:p w14:paraId="74E2F5A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перечни элементов к схемам;</w:t>
            </w:r>
          </w:p>
          <w:p w14:paraId="41F71FC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схемы электрические подключения;</w:t>
            </w:r>
          </w:p>
          <w:p w14:paraId="408ABE9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установочные чертежи и рама под оборудование;</w:t>
            </w:r>
          </w:p>
          <w:p w14:paraId="25BE10D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 прокладки силовых и контрольных кабелей по сущ. трассам;</w:t>
            </w:r>
          </w:p>
          <w:p w14:paraId="07985F6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кабельный журнал силовых и контрольных связей;</w:t>
            </w:r>
          </w:p>
          <w:p w14:paraId="7B9173D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опросные листы на заказ оборудования; </w:t>
            </w:r>
          </w:p>
          <w:p w14:paraId="16171059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покупных изделий;</w:t>
            </w:r>
          </w:p>
          <w:p w14:paraId="0DDAF43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Локальный сметный расчёт</w:t>
            </w:r>
          </w:p>
          <w:p w14:paraId="23D67E5A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B9FCE9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287C0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рабочей и сметной документации:</w:t>
            </w:r>
          </w:p>
          <w:p w14:paraId="242A8B9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рабочей и сметной документации с учетом Постановление Правительства РФ от 23.12.2024 N 1875.Состав рабочей и сметной документации должен соответствовать требованиям части 12 статьи 48 Градостроительного кодекса Российской Федерации.</w:t>
            </w:r>
          </w:p>
          <w:p w14:paraId="0F399CB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При разработке Рабочей документации должны быть разработаны следующие части рабочей документации:</w:t>
            </w:r>
          </w:p>
          <w:p w14:paraId="303DB3D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ТХ (технологические решения)</w:t>
            </w:r>
          </w:p>
          <w:p w14:paraId="4A28B152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— АС (Архитектурно строительные решения);</w:t>
            </w:r>
          </w:p>
          <w:p w14:paraId="16276072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― АТХ (Автоматизация технологии производства);</w:t>
            </w:r>
          </w:p>
          <w:p w14:paraId="7FABBE1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— КЖ (Конструкции железобетонные);</w:t>
            </w:r>
          </w:p>
          <w:p w14:paraId="7AA87FE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― КМ (Конструкции металлические);</w:t>
            </w:r>
          </w:p>
          <w:p w14:paraId="2D3F8B06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— ОВ (Отопление, вентиляция и кондиционирование</w:t>
            </w:r>
          </w:p>
          <w:p w14:paraId="79C5316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воздуха);</w:t>
            </w:r>
          </w:p>
          <w:p w14:paraId="1D044C0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― ЭМ (Силовое электрооборудование);</w:t>
            </w:r>
          </w:p>
          <w:p w14:paraId="48E570B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― ЭС (Электроснабжение).</w:t>
            </w:r>
          </w:p>
          <w:p w14:paraId="252159CC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рабочей документации может быть откорректирован в процессе проектирования при условии предварительного согласования с Заказчиком.</w:t>
            </w:r>
          </w:p>
          <w:p w14:paraId="0B7EA7A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Разработать сметную документацию в текущем уровне цен.</w:t>
            </w:r>
          </w:p>
          <w:p w14:paraId="14F167AA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Выбор производителя оборудования согласовать с Заказчиком на стадии разработки документации. В качестве обоснования выбора производителя предоставить технико-экономическое обоснование, в котором должны быть рассмотрены не менее 3 (трёх) производителей оборудования присутствующих на Российском рынке.</w:t>
            </w:r>
          </w:p>
          <w:p w14:paraId="0C22A3A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2.5. Рабочую документацию выполнить по ГОСТ Р 21.101-2026, в том числе чертежи, спецификации.</w:t>
            </w:r>
          </w:p>
          <w:p w14:paraId="27EBF3D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Все надписи на чертежах должны быть выполнены на русском языке (за исключением символов физических величин и маркировки). Надписи марок оборудования и материалов, имеющих иностранный логотип, должны быть выполнены на языке оригинала; </w:t>
            </w:r>
          </w:p>
          <w:p w14:paraId="21F53F5E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Актуальная (окончательная) версия чертежей рабочей документации, представленных в электронном виде Заказчику, не должна содержать промежуточных вариантов чертежей (к примеру, расположенных рядом на свободном поле чертежа).</w:t>
            </w:r>
          </w:p>
          <w:p w14:paraId="588CB397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 Рабочая документация должна быть выполнена в объёме, достаточном для проведения строительно-монтажных работ, включая разборку и демонтаж существующих конструкций, а также их восстановление.</w:t>
            </w:r>
          </w:p>
          <w:p w14:paraId="28D29BC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 Проектные решения должны быть совместимы, в отношении электроснабжения, с существующим на объекте электрооборудованием МУП «Водоканал».</w:t>
            </w:r>
          </w:p>
          <w:p w14:paraId="32AEAE55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2.10. Проектные решения, выбор оборудования, разработанная рабочая документация должна быть согласована со службой Главного энергетика, Службой по эксплуатации КИПиА МУП «Водоканал».</w:t>
            </w:r>
          </w:p>
          <w:p w14:paraId="7262BD9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2.11 По согласованной рабочей документации выполнить сметную документацию. Сметную документацию разработать в программном комплексе «Гранд-смета» (в формате gsf) и согласовать с МУП «Водоканал». </w:t>
            </w:r>
          </w:p>
          <w:p w14:paraId="510FDAA4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2.12. Состав сметной документации должен отвечать действующим нормативным требованиям и, среди прочего, включать следующие разделы: </w:t>
            </w:r>
          </w:p>
          <w:p w14:paraId="6843936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объемов д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ажных работ;</w:t>
            </w:r>
          </w:p>
          <w:p w14:paraId="037BB23D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объемов строительно-монтажных работ;</w:t>
            </w:r>
          </w:p>
          <w:p w14:paraId="3B718861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объемов пуско-наладочных работ;</w:t>
            </w:r>
          </w:p>
          <w:p w14:paraId="0D89D040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Сводный и локальный сметные расчёты.</w:t>
            </w:r>
          </w:p>
          <w:p w14:paraId="7B06E703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2.13. Сметная стоимость материалов и оборудования должна подтверждаться предоставленным конъюнктурным анализом (не менее 3-х предложений по каждой позиции).</w:t>
            </w:r>
          </w:p>
          <w:p w14:paraId="52D94E08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2.14. Сметная документация должна быть составлена с учетом положений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утвержденной приказом Министерства строительства и жилищно-коммунального хозяйства Российской Федерации от 04 августа 2020г. № 421/пр. с изм.557/пр.</w:t>
            </w:r>
          </w:p>
          <w:p w14:paraId="75937121" w14:textId="77777777" w:rsidR="00CB7C43" w:rsidRDefault="00CB7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67F23B" w14:textId="77777777" w:rsidR="00CB7C43" w:rsidRDefault="00BC04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каждому этапу проектирования подрядчик обязан предоставить полный пакет рабочей и сметной документации, позволяющий приступить к его реализации.</w:t>
            </w:r>
          </w:p>
        </w:tc>
      </w:tr>
      <w:tr w:rsidR="00CB7C43" w14:paraId="457FA94B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4802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2042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Подрядчику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245" w14:textId="77777777" w:rsidR="00CB7C43" w:rsidRDefault="00BC0437">
            <w:pPr>
              <w:keepNext/>
              <w:tabs>
                <w:tab w:val="left" w:pos="1134"/>
              </w:tabs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B7C43" w14:paraId="4D3DC68F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6F1F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E009" w14:textId="77777777" w:rsidR="00CB7C43" w:rsidRDefault="00BC0437">
            <w:pPr>
              <w:shd w:val="clear" w:color="auto" w:fill="FFFFFF"/>
              <w:spacing w:after="0" w:line="240" w:lineRule="auto"/>
              <w:ind w:left="5" w:right="62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начала и окончания работ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A90F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начала работ: с момента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заключения договора.</w:t>
            </w:r>
          </w:p>
          <w:p w14:paraId="3E76A4F4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Срок окончания выполнения всех работ 01.02.2027</w:t>
            </w:r>
          </w:p>
          <w:p w14:paraId="68A2EBD2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Сроки выполнения этапов работ указаны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графике выполнения работ (Приложение № 3 к Договору)</w:t>
            </w:r>
          </w:p>
        </w:tc>
      </w:tr>
      <w:tr w:rsidR="00CB7C43" w14:paraId="2A17D0A5" w14:textId="77777777">
        <w:trPr>
          <w:trHeight w:val="49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2BAC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4984" w14:textId="77777777" w:rsidR="00CB7C43" w:rsidRDefault="00BC0437">
            <w:pPr>
              <w:shd w:val="clear" w:color="auto" w:fill="FFFFFF"/>
              <w:spacing w:after="0" w:line="240" w:lineRule="auto"/>
              <w:ind w:left="5" w:right="62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Документация, передаваемая Заказчиком</w:t>
            </w:r>
          </w:p>
          <w:p w14:paraId="4438133C" w14:textId="77777777" w:rsidR="00CB7C43" w:rsidRDefault="00CB7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CD2C" w14:textId="77777777" w:rsidR="00CB7C43" w:rsidRDefault="00BC0437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Документация предоставляется Заказчиком при условии направления письменного запроса Подрядчика, при наличии запрашиваемой информации в архиве предприятия и службах эксплуатации.</w:t>
            </w:r>
          </w:p>
          <w:p w14:paraId="5539EBCC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 случае отсутствия запрашиваемой информации Подрядчик собирает необходимую информацию самостоятельно.</w:t>
            </w:r>
          </w:p>
        </w:tc>
      </w:tr>
      <w:tr w:rsidR="00CB7C43" w14:paraId="1336EB51" w14:textId="77777777">
        <w:trPr>
          <w:trHeight w:val="49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141E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BC5B" w14:textId="77777777" w:rsidR="00CB7C43" w:rsidRDefault="00BC0437">
            <w:pPr>
              <w:shd w:val="clear" w:color="auto" w:fill="FFFFFF"/>
              <w:spacing w:after="0" w:line="240" w:lineRule="auto"/>
              <w:ind w:left="5" w:right="62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D9D4" w14:textId="4C793979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 течение 5 (Пяти) рабочих дней с момента заключения договора получить исходные данные, согласно п.6 настоящего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0B9400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 течение 10 (Десяти) рабочих дней с момента заключения</w:t>
            </w:r>
          </w:p>
          <w:p w14:paraId="5F3992C0" w14:textId="157AEE15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договора Подрядчику необходимо предоставить на согласование Заказчику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Календарный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проектно</w:t>
            </w:r>
            <w:r w:rsidR="00AA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изыскательских работ с указанием сроков начала и окончания выполнения работ по каждому этапу.</w:t>
            </w:r>
          </w:p>
          <w:p w14:paraId="3EBFA5EB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Устранять все замечания Заказчика в процессе разработки и согласования рабочей документации.</w:t>
            </w:r>
          </w:p>
          <w:p w14:paraId="594CFDDD" w14:textId="210BCBCA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Вся официальная переписка, касающаяся выполнения работ и иных вопросов, связанных с исполнением договора должна направляться Подрядчиком Заказчику по электронн</w:t>
            </w:r>
            <w:r w:rsidR="00AA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почт</w:t>
            </w:r>
            <w:r w:rsidR="00AA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е.</w:t>
            </w:r>
          </w:p>
          <w:p w14:paraId="79B3EAC9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дчик обязан выполнять работы таким образом, чтобы у Заказчика отсутствовали претензии к рабочей и сметной документации.</w:t>
            </w:r>
          </w:p>
          <w:p w14:paraId="0643299E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Осуществить подбор основного и вспомогательного оборудования путём сравнивания техника-экономических параметров нескольких (не менее 3-х) фирм-производителей оборудования присутствующих на Российском рынке, указывая при этом, какой критерий или их совокупность стали определяющими при выборе конкретного производителя. Каждый тип (модель) оборудования согласовать с Заказчиком на стадии разработки проекта.</w:t>
            </w:r>
          </w:p>
          <w:p w14:paraId="59A04AF8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Рабочую документацию выполнить по ГОСТ Р 21.1101-2020, в том числе чертежи, спецификацию.</w:t>
            </w:r>
          </w:p>
          <w:p w14:paraId="7568EB40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Тестовая часть рабочей документации, других документов, содержащих, в основном, сплошной текст, расчёты выполнять с использованием MS Office Word и печать документа производить на одной стороне листа белой бумаги формата А4. Для выполнения объёмных таблиц допускается использовать MS Office Excel.</w:t>
            </w:r>
          </w:p>
          <w:p w14:paraId="5515EA50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Чертежи и схемы должны быть выполнены в программе AutoCAD не ниже 2016 версии.</w:t>
            </w:r>
          </w:p>
          <w:p w14:paraId="44CAE6D7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Все надписи в графической части документации должны быть выполнены высотой 2,5; 3,5 и 5 соответственно, которому присвоены следующие значения:</w:t>
            </w:r>
          </w:p>
          <w:p w14:paraId="37068F89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Тип шрифта - «ISOCPEUR», прямой;</w:t>
            </w:r>
          </w:p>
          <w:p w14:paraId="11BD54E9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Графическая часть должна быть выполнена в пространстве чертежа «Модель», в пространстве «Лист»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 выполнять только рамки и штамп чертежа, спецификации, таблицы;</w:t>
            </w:r>
          </w:p>
          <w:p w14:paraId="276F35D4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Элементы чертежа, требующие штриховки, должны быть выполнены инструментом «Hatch» / «Штриховка», без разбивки на примитивы;</w:t>
            </w:r>
          </w:p>
          <w:p w14:paraId="7070CEEB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Элементы чертежа, объединяемые функционально или системно должны быть выполнены в одном слое, кроме чертежей, связанных с подосновой. В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чертеже должны быть понятные названия слоев (пример: «дороги», «тротуары», «здания», «сеть В1», «надписи», «рамка» и т.д.). Запрещается работать в слое «0» (ноль) и «defpoints»;</w:t>
            </w:r>
          </w:p>
          <w:p w14:paraId="32BF0376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Все элементы чертежа должны иметь свойства, цвет «по слою», толщина линии «по слою»;</w:t>
            </w:r>
          </w:p>
          <w:p w14:paraId="64F48388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Все надписи чертежа должны быть выполнены на русском языке (за исключением символов физических величин и маркировки). Надписи марок оборудования и материалов, имеющих иностранный логотип, должны быть выполнены на языке оригинала;</w:t>
            </w:r>
          </w:p>
          <w:p w14:paraId="1366E50E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Под основной надписью должен быть указан формат листа, необходимого для печати. Применение нестандартных форматов не допускается;</w:t>
            </w:r>
          </w:p>
          <w:p w14:paraId="6D6E0C18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Печатная и электронная версия рабочей документации должна содержать в полном объеме:</w:t>
            </w:r>
          </w:p>
          <w:p w14:paraId="31D2F5E5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Расчеты, проводимые при разработке рабочей продукции;</w:t>
            </w:r>
          </w:p>
          <w:p w14:paraId="053031BB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Ссылки на нормативные документы, в случае, когда нормативными документами допускается применять те или иные проектные решения без их расчета;</w:t>
            </w:r>
          </w:p>
          <w:p w14:paraId="24F076C0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Актуальная (окончательная) версия чертежей рабочей документации, представленных в электронном виде Заказчику, не должна содержать промежуточных вариантов чертежей (к примеру, расположенных рядом на свободном поле чертежа).</w:t>
            </w:r>
          </w:p>
          <w:p w14:paraId="380876D9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Передаваемые Заказчику материалы должны содержать присоединенные файлы, подложки, файлы шрифтов для корректного отображения чертежа и текста на экране;</w:t>
            </w:r>
          </w:p>
          <w:p w14:paraId="37C4272B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Материал графической части проекта должен быть сшит в электронную подшивку в формате «*.dst»;</w:t>
            </w:r>
          </w:p>
          <w:p w14:paraId="7B1F6945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Печать чертежей на бумажном носителе должна быть выполнена с использованием технологии электрографической печати.</w:t>
            </w:r>
          </w:p>
          <w:p w14:paraId="7F16754C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Работа должна быть выполнена в объеме, достаточном для проведения строительно-монтажных работ, включая разборку и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демонтаж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уществующих конструкций, а также их восстановление.</w:t>
            </w:r>
          </w:p>
          <w:p w14:paraId="1B9EE0EB" w14:textId="76AA055E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Разработанная рабочая документация должна быть согласована с МУП «Водоканал»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275809" w14:textId="77777777" w:rsidR="00CB7C43" w:rsidRDefault="00BC0437">
            <w:pPr>
              <w:spacing w:after="0"/>
              <w:ind w:firstLine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согласованной рабочей документации выполнить сметную документацию. Состав сметной документации должен отвечать действующим нормативным требованиям и, среди прочего, включать следующие разделы: </w:t>
            </w:r>
          </w:p>
          <w:p w14:paraId="356921BE" w14:textId="77777777" w:rsidR="00CB7C43" w:rsidRDefault="00BC0437">
            <w:pPr>
              <w:spacing w:after="0"/>
              <w:ind w:firstLine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объёмов демонтажных работ;</w:t>
            </w:r>
          </w:p>
          <w:p w14:paraId="1D405303" w14:textId="77777777" w:rsidR="00CB7C43" w:rsidRDefault="00BC0437">
            <w:pPr>
              <w:spacing w:after="0"/>
              <w:ind w:firstLine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Ведомость объёмов строительно-монтажных работ;</w:t>
            </w:r>
          </w:p>
          <w:p w14:paraId="47BD5D86" w14:textId="77777777" w:rsidR="00CB7C43" w:rsidRDefault="00BC0437">
            <w:pPr>
              <w:spacing w:after="0"/>
              <w:ind w:firstLine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Ведомость объёмов пуско-наладочных работ;</w:t>
            </w:r>
          </w:p>
          <w:p w14:paraId="46B9C9CD" w14:textId="77777777" w:rsidR="00CB7C43" w:rsidRDefault="00BC0437">
            <w:pPr>
              <w:spacing w:after="0"/>
              <w:ind w:firstLine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Сводный и локальный сметные расчёты.</w:t>
            </w:r>
          </w:p>
          <w:p w14:paraId="607F9B6E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Сметную документацию согласовать со Сметной службой МУП «Водоканал».</w:t>
            </w:r>
          </w:p>
          <w:p w14:paraId="1A7AC2A0" w14:textId="77777777" w:rsidR="00CB7C43" w:rsidRDefault="00BC0437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25. Для проведения конъюнктурного анализа осуществлять запрос документов, обосновывающих стоимость материальных ресурсов и оборудования в текущем уровне цен с учетом объемов материальных ресурсов и оборудования, указанных в проектной и(или) рабочей документации.</w:t>
            </w:r>
          </w:p>
          <w:p w14:paraId="72892AAC" w14:textId="77777777" w:rsidR="00CB7C43" w:rsidRDefault="00CB7C43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C43" w14:paraId="3FC3BDF1" w14:textId="77777777">
        <w:trPr>
          <w:trHeight w:val="49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4C61" w14:textId="77777777" w:rsidR="00CB7C43" w:rsidRDefault="00BC04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09CB" w14:textId="77777777" w:rsidR="00CB7C43" w:rsidRDefault="00BC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Порядок сдачи-приемки выполненных работ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171" w14:textId="77777777" w:rsidR="00CB7C43" w:rsidRDefault="00BC04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</w:rPr>
              <w:t>В соответствии с разделом 6 Договора.</w:t>
            </w:r>
          </w:p>
        </w:tc>
      </w:tr>
      <w:tr w:rsidR="00CB7C43" w14:paraId="70CEA96B" w14:textId="77777777">
        <w:trPr>
          <w:trHeight w:val="28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3FC" w14:textId="77777777" w:rsidR="00CB7C43" w:rsidRDefault="00CB7C4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E7CB" w14:textId="77777777" w:rsidR="00CB7C43" w:rsidRDefault="00BC04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выполненных работ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2A23" w14:textId="77777777" w:rsidR="00CB7C43" w:rsidRDefault="00BC0437">
            <w:pPr>
              <w:tabs>
                <w:tab w:val="left" w:pos="325"/>
              </w:tabs>
              <w:spacing w:after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Результаты выполненных работ:</w:t>
            </w:r>
          </w:p>
          <w:p w14:paraId="44FB8749" w14:textId="77777777" w:rsidR="00CB7C43" w:rsidRDefault="00BC0437">
            <w:pPr>
              <w:tabs>
                <w:tab w:val="left" w:pos="325"/>
              </w:tabs>
              <w:spacing w:after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Рабочая и сметная документацию по каждому Этапу по объекту: «Система управления и регулирования производительности сетевых насосов насосной станции №7 третьего подъёма ХВС г. Екатеринбурга с применением частотного регулирования».</w:t>
            </w:r>
          </w:p>
          <w:p w14:paraId="0081DE0E" w14:textId="77777777" w:rsidR="00CB7C43" w:rsidRDefault="00BC0437">
            <w:pPr>
              <w:tabs>
                <w:tab w:val="left" w:pos="325"/>
              </w:tabs>
              <w:spacing w:after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Рабочую и сметную документацию предоставить в соответствии с требованиями (в том числе к составу указанных результатов), установленными законодательством Российской Федерации.</w:t>
            </w:r>
          </w:p>
          <w:p w14:paraId="11306D18" w14:textId="77777777" w:rsidR="00CB7C43" w:rsidRDefault="00BC0437">
            <w:pPr>
              <w:tabs>
                <w:tab w:val="left" w:pos="325"/>
              </w:tabs>
              <w:spacing w:after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Результат работы по каждому этапу предоставить на бумажном носителе в сброшюрованном виде в</w:t>
            </w:r>
            <w:r>
              <w:rPr>
                <w:rFonts w:ascii="Liberation Serif" w:eastAsia="Liberation Serif" w:hAnsi="Liberation Serif" w:cs="Liberation Serif"/>
                <w:color w:val="FF0000"/>
                <w:sz w:val="24"/>
                <w:szCs w:val="24"/>
              </w:rPr>
              <w:t xml:space="preserve"> 2-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 экземплярах и на электронном носителе (USB Flash носитель) в 1 (одном) экземпляре в форматах dwg, doc, gsf.</w:t>
            </w:r>
          </w:p>
          <w:p w14:paraId="09D5F96E" w14:textId="77777777" w:rsidR="00CB7C43" w:rsidRDefault="00BC0437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Результат конъюнктурного анализа оформленный в соответствии с рекомендуемой формой, приведенной в Приложении N 1 к Методике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РФ на территории РФ, утвержденной приказом Минстроя России от 04.08.2020 N 421/пр. с изм.557/пр. Информация, используемая для проведения конъюнктурного анализа, должна быть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подтверждена обосновывающими документами, оформленными в соответствии с требованиями законодательства РФ.</w:t>
            </w:r>
          </w:p>
        </w:tc>
      </w:tr>
    </w:tbl>
    <w:p w14:paraId="434655C2" w14:textId="77777777" w:rsidR="00CB7C43" w:rsidRDefault="00CB7C4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0000"/>
        </w:rPr>
      </w:pPr>
    </w:p>
    <w:p w14:paraId="7C54DAA6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5E551713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01632F03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550F4A46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46A14482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33CE15CE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04274CDE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72BC89A2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45F8F367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7A9E9174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303F0395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7C792917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4F2A5FE0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27ACEC6B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2FF688C2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1FE943AF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52D655CF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03A6B9C0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2E309C2B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</w:rPr>
      </w:pPr>
    </w:p>
    <w:p w14:paraId="03012220" w14:textId="77777777" w:rsidR="00CB7C43" w:rsidRDefault="00CB7C43">
      <w:pPr>
        <w:widowControl w:val="0"/>
        <w:spacing w:after="0" w:line="240" w:lineRule="auto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</w:p>
    <w:p w14:paraId="5D86DC65" w14:textId="77777777" w:rsidR="00CB7C43" w:rsidRDefault="00BC0437">
      <w:pPr>
        <w:widowControl w:val="0"/>
        <w:spacing w:after="0" w:line="240" w:lineRule="auto"/>
        <w:ind w:left="426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График выполнения работ по объекту:</w:t>
      </w:r>
    </w:p>
    <w:p w14:paraId="19C2066F" w14:textId="77777777" w:rsidR="00CB7C43" w:rsidRDefault="00BC0437">
      <w:pPr>
        <w:widowControl w:val="0"/>
        <w:spacing w:after="0" w:line="240" w:lineRule="auto"/>
        <w:ind w:firstLine="54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разработка рабочей и сметной документации по объекту: «Система управления и регулирования производительности сетевых насосов насосной станции №7 третьего подъёма ХВС г. Екатеринбурга с применением частотного регулирования»</w:t>
      </w:r>
    </w:p>
    <w:p w14:paraId="437D7E7B" w14:textId="77777777" w:rsidR="00CB7C43" w:rsidRDefault="00CB7C43">
      <w:pPr>
        <w:widowControl w:val="0"/>
        <w:spacing w:after="0" w:line="240" w:lineRule="auto"/>
        <w:ind w:firstLine="54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6"/>
        <w:tblW w:w="104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364"/>
        <w:gridCol w:w="4503"/>
      </w:tblGrid>
      <w:tr w:rsidR="00CB7C43" w14:paraId="7B58A8DC" w14:textId="77777777">
        <w:tc>
          <w:tcPr>
            <w:tcW w:w="1555" w:type="dxa"/>
          </w:tcPr>
          <w:p w14:paraId="406A0A54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Номер этапа выполнения работ</w:t>
            </w:r>
          </w:p>
        </w:tc>
        <w:tc>
          <w:tcPr>
            <w:tcW w:w="4364" w:type="dxa"/>
          </w:tcPr>
          <w:p w14:paraId="3F1B0398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этапа выполнения работ по договору</w:t>
            </w:r>
          </w:p>
        </w:tc>
        <w:tc>
          <w:tcPr>
            <w:tcW w:w="4503" w:type="dxa"/>
          </w:tcPr>
          <w:p w14:paraId="0A65B836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Сроки исполнения этапа выполнения работ по договору</w:t>
            </w:r>
          </w:p>
        </w:tc>
      </w:tr>
      <w:tr w:rsidR="00CB7C43" w14:paraId="420523D8" w14:textId="77777777">
        <w:tc>
          <w:tcPr>
            <w:tcW w:w="1555" w:type="dxa"/>
          </w:tcPr>
          <w:p w14:paraId="1352F770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64" w:type="dxa"/>
          </w:tcPr>
          <w:p w14:paraId="70EB2C5F" w14:textId="77777777" w:rsidR="00CB7C43" w:rsidRDefault="00BC043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рабочей и сметной документации на Капитальный ремонт с заменой существующих и установкой дополнительных ячеек РП-601 (10 кВ) насосной станции №7 третьего подъёма ХВС г. Екатеринбурга по адресу Кольцовский тракт 10-й км.</w:t>
            </w:r>
          </w:p>
          <w:p w14:paraId="09122A8E" w14:textId="77777777" w:rsidR="00CB7C43" w:rsidRDefault="00CB7C4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F74EBF" w14:textId="77777777" w:rsidR="00CB7C43" w:rsidRDefault="00CB7C4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3" w:type="dxa"/>
          </w:tcPr>
          <w:p w14:paraId="6294C1F6" w14:textId="77777777" w:rsidR="00CB7C43" w:rsidRDefault="00CB7C43">
            <w:pPr>
              <w:widowControl w:val="0"/>
              <w:ind w:firstLine="54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  <w:p w14:paraId="7FE1ECA1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Начальный срок выполнения работ: с момента заключения договора.</w:t>
            </w:r>
          </w:p>
          <w:p w14:paraId="193FDCC5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Конечный срок выполнения работ: 01.11.2026</w:t>
            </w:r>
          </w:p>
        </w:tc>
      </w:tr>
      <w:tr w:rsidR="00CB7C43" w14:paraId="6096376D" w14:textId="77777777">
        <w:tc>
          <w:tcPr>
            <w:tcW w:w="1555" w:type="dxa"/>
          </w:tcPr>
          <w:p w14:paraId="5A3CEABC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64" w:type="dxa"/>
          </w:tcPr>
          <w:p w14:paraId="6E062342" w14:textId="77777777" w:rsidR="00CB7C43" w:rsidRDefault="00BC043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рабочей и сметной документации «Система управления и регулирования производительности сетевых насосов 4, 5, 6 насосной станции №7 третьего подъёма ХВС г. Екатеринбурга с применением двух высоковольтных частотных преобразователей».</w:t>
            </w:r>
          </w:p>
          <w:p w14:paraId="7C838991" w14:textId="77777777" w:rsidR="00CB7C43" w:rsidRDefault="00CB7C43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  <w:p w14:paraId="5D4183C6" w14:textId="77777777" w:rsidR="00CB7C43" w:rsidRDefault="00CB7C43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503" w:type="dxa"/>
          </w:tcPr>
          <w:p w14:paraId="356925C3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Начальный срок выполнения работ: с момента заключения договора.</w:t>
            </w:r>
          </w:p>
          <w:p w14:paraId="1DDA73B9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Конечный срок выполнения работ: 01.12.2026</w:t>
            </w:r>
          </w:p>
        </w:tc>
      </w:tr>
      <w:tr w:rsidR="00CB7C43" w14:paraId="388FCD3B" w14:textId="77777777">
        <w:tc>
          <w:tcPr>
            <w:tcW w:w="1555" w:type="dxa"/>
          </w:tcPr>
          <w:p w14:paraId="7DD94BC7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64" w:type="dxa"/>
          </w:tcPr>
          <w:p w14:paraId="143D02D0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рабочей и сметной документации «Система управления и регулирования производительности сетевых насосов 1, 2, 3 насосной станции №7 третьего подъёма ХВС г. Екатеринбурга с применением двух высоковольтных частотных преобразователей».</w:t>
            </w:r>
          </w:p>
        </w:tc>
        <w:tc>
          <w:tcPr>
            <w:tcW w:w="4503" w:type="dxa"/>
          </w:tcPr>
          <w:p w14:paraId="03A1A03C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Начальный срок выполнения работ: с момента заключения договора.</w:t>
            </w:r>
          </w:p>
          <w:p w14:paraId="6A8CD9E3" w14:textId="77777777" w:rsidR="00CB7C43" w:rsidRDefault="00BC0437">
            <w:pPr>
              <w:widowControl w:val="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Конечный срок выполнения работ: 01.02.2027</w:t>
            </w:r>
          </w:p>
        </w:tc>
      </w:tr>
    </w:tbl>
    <w:p w14:paraId="7FC11C42" w14:textId="77777777" w:rsidR="00CB7C43" w:rsidRDefault="00CB7C43">
      <w:pPr>
        <w:widowControl w:val="0"/>
        <w:spacing w:after="0" w:line="240" w:lineRule="auto"/>
        <w:ind w:firstLine="426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E660949" w14:textId="77777777" w:rsidR="00CB7C43" w:rsidRDefault="00CB7C43">
      <w:pPr>
        <w:spacing w:after="0" w:line="240" w:lineRule="auto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EF4780C" w14:textId="77777777" w:rsidR="00CB7C43" w:rsidRDefault="00CB7C43">
      <w:pP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6" w:name="_y6fg0vrnee8" w:colFirst="0" w:colLast="0"/>
      <w:bookmarkEnd w:id="16"/>
    </w:p>
    <w:sectPr w:rsidR="00CB7C43">
      <w:footerReference w:type="even" r:id="rId8"/>
      <w:footerReference w:type="default" r:id="rId9"/>
      <w:footerReference w:type="first" r:id="rId10"/>
      <w:pgSz w:w="11907" w:h="16840"/>
      <w:pgMar w:top="1134" w:right="56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9AE0" w14:textId="77777777" w:rsidR="00BC0437" w:rsidRDefault="00BC0437">
      <w:pPr>
        <w:spacing w:after="0" w:line="240" w:lineRule="auto"/>
      </w:pPr>
      <w:r>
        <w:separator/>
      </w:r>
    </w:p>
  </w:endnote>
  <w:endnote w:type="continuationSeparator" w:id="0">
    <w:p w14:paraId="6FA73AFE" w14:textId="77777777" w:rsidR="00BC0437" w:rsidRDefault="00BC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7E4571B-8709-48AB-B0E1-991226FFD1B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F2F6E4C-B903-48DD-AF1D-14BA7540F842}"/>
    <w:embedBold r:id="rId3" w:fontKey="{3F2B838F-EF96-4AC4-A88E-080E2F31C9F8}"/>
    <w:embedBoldItalic r:id="rId4" w:fontKey="{B90C733D-C62F-4D80-936A-DD069E7C5E2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5E7BE1C6-99AB-46C6-A02F-DFB58C38954C}"/>
  </w:font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4D20" w14:textId="77777777" w:rsidR="00CB7C43" w:rsidRDefault="00BC04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ourier New" w:eastAsia="Courier New" w:hAnsi="Courier New" w:cs="Courier New"/>
        <w:color w:val="000000"/>
        <w:sz w:val="20"/>
        <w:szCs w:val="20"/>
      </w:rPr>
    </w:pPr>
    <w:r>
      <w:rPr>
        <w:rFonts w:ascii="Courier New" w:eastAsia="Courier New" w:hAnsi="Courier New" w:cs="Courier New"/>
        <w:color w:val="000000"/>
        <w:sz w:val="20"/>
        <w:szCs w:val="20"/>
      </w:rPr>
      <w:fldChar w:fldCharType="begin"/>
    </w:r>
    <w:r>
      <w:rPr>
        <w:rFonts w:ascii="Courier New" w:eastAsia="Courier New" w:hAnsi="Courier New" w:cs="Courier New"/>
        <w:color w:val="000000"/>
        <w:sz w:val="20"/>
        <w:szCs w:val="20"/>
      </w:rPr>
      <w:instrText>PAGE</w:instrText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separate"/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end"/>
    </w:r>
  </w:p>
  <w:p w14:paraId="5BCF959F" w14:textId="77777777" w:rsidR="00CB7C43" w:rsidRDefault="00CB7C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rFonts w:ascii="Courier New" w:eastAsia="Courier New" w:hAnsi="Courier New" w:cs="Courier New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0435" w14:textId="77777777" w:rsidR="00CB7C43" w:rsidRDefault="00BC04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ourier New" w:eastAsia="Courier New" w:hAnsi="Courier New" w:cs="Courier New"/>
        <w:color w:val="000000"/>
        <w:sz w:val="20"/>
        <w:szCs w:val="20"/>
      </w:rPr>
    </w:pPr>
    <w:r>
      <w:rPr>
        <w:rFonts w:ascii="Courier New" w:eastAsia="Courier New" w:hAnsi="Courier New" w:cs="Courier New"/>
        <w:color w:val="000000"/>
        <w:sz w:val="20"/>
        <w:szCs w:val="20"/>
      </w:rPr>
      <w:fldChar w:fldCharType="begin"/>
    </w:r>
    <w:r>
      <w:rPr>
        <w:rFonts w:ascii="Courier New" w:eastAsia="Courier New" w:hAnsi="Courier New" w:cs="Courier New"/>
        <w:color w:val="000000"/>
        <w:sz w:val="20"/>
        <w:szCs w:val="20"/>
      </w:rPr>
      <w:instrText>PAGE</w:instrText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separate"/>
    </w:r>
    <w:r w:rsidR="007D4AB1">
      <w:rPr>
        <w:rFonts w:ascii="Courier New" w:eastAsia="Courier New" w:hAnsi="Courier New" w:cs="Courier New"/>
        <w:noProof/>
        <w:color w:val="000000"/>
        <w:sz w:val="20"/>
        <w:szCs w:val="20"/>
      </w:rPr>
      <w:t>1</w:t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end"/>
    </w:r>
  </w:p>
  <w:p w14:paraId="7FF053FF" w14:textId="77777777" w:rsidR="00CB7C43" w:rsidRDefault="00CB7C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rFonts w:ascii="Courier New" w:eastAsia="Courier New" w:hAnsi="Courier New" w:cs="Courier New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F607" w14:textId="77777777" w:rsidR="00CB7C43" w:rsidRDefault="00BC04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ourier New" w:eastAsia="Courier New" w:hAnsi="Courier New" w:cs="Courier New"/>
        <w:color w:val="000000"/>
        <w:sz w:val="20"/>
        <w:szCs w:val="20"/>
      </w:rPr>
    </w:pPr>
    <w:r>
      <w:rPr>
        <w:rFonts w:ascii="Courier New" w:eastAsia="Courier New" w:hAnsi="Courier New" w:cs="Courier New"/>
        <w:color w:val="000000"/>
        <w:sz w:val="20"/>
        <w:szCs w:val="20"/>
      </w:rPr>
      <w:fldChar w:fldCharType="begin"/>
    </w:r>
    <w:r>
      <w:rPr>
        <w:rFonts w:ascii="Courier New" w:eastAsia="Courier New" w:hAnsi="Courier New" w:cs="Courier New"/>
        <w:color w:val="000000"/>
        <w:sz w:val="20"/>
        <w:szCs w:val="20"/>
      </w:rPr>
      <w:instrText>PAGE</w:instrText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separate"/>
    </w:r>
    <w:r>
      <w:rPr>
        <w:rFonts w:ascii="Courier New" w:eastAsia="Courier New" w:hAnsi="Courier New" w:cs="Courier New"/>
        <w:color w:val="000000"/>
        <w:sz w:val="20"/>
        <w:szCs w:val="20"/>
      </w:rPr>
      <w:fldChar w:fldCharType="end"/>
    </w:r>
  </w:p>
  <w:p w14:paraId="1CAC534C" w14:textId="77777777" w:rsidR="00CB7C43" w:rsidRDefault="00CB7C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ourier New" w:eastAsia="Courier New" w:hAnsi="Courier New" w:cs="Courier New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B199" w14:textId="77777777" w:rsidR="00BC0437" w:rsidRDefault="00BC0437">
      <w:pPr>
        <w:spacing w:after="0" w:line="240" w:lineRule="auto"/>
      </w:pPr>
      <w:r>
        <w:separator/>
      </w:r>
    </w:p>
  </w:footnote>
  <w:footnote w:type="continuationSeparator" w:id="0">
    <w:p w14:paraId="29FDCAA8" w14:textId="77777777" w:rsidR="00BC0437" w:rsidRDefault="00BC0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6B13"/>
    <w:multiLevelType w:val="multilevel"/>
    <w:tmpl w:val="272C363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40882"/>
    <w:multiLevelType w:val="multilevel"/>
    <w:tmpl w:val="15FCA340"/>
    <w:lvl w:ilvl="0">
      <w:start w:val="3"/>
      <w:numFmt w:val="upperRoman"/>
      <w:lvlText w:val="%1."/>
      <w:lvlJc w:val="left"/>
      <w:pPr>
        <w:ind w:left="1298" w:hanging="719"/>
      </w:pPr>
    </w:lvl>
    <w:lvl w:ilvl="1">
      <w:start w:val="1"/>
      <w:numFmt w:val="lowerLetter"/>
      <w:lvlText w:val="%2."/>
      <w:lvlJc w:val="left"/>
      <w:pPr>
        <w:ind w:left="1658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num w:numId="1" w16cid:durableId="473524056">
    <w:abstractNumId w:val="0"/>
  </w:num>
  <w:num w:numId="2" w16cid:durableId="191249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C43"/>
    <w:rsid w:val="007D4AB1"/>
    <w:rsid w:val="00A502E3"/>
    <w:rsid w:val="00AA7592"/>
    <w:rsid w:val="00BC0437"/>
    <w:rsid w:val="00CB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FB22"/>
  <w15:docId w15:val="{1E754069-F397-46A6-973D-46D36C49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 w:line="240" w:lineRule="auto"/>
      <w:outlineLvl w:val="3"/>
    </w:pPr>
    <w:rPr>
      <w:rFonts w:ascii="Cambria" w:eastAsia="Cambria" w:hAnsi="Cambria" w:cs="Cambria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after="0" w:line="240" w:lineRule="auto"/>
      <w:outlineLvl w:val="5"/>
    </w:pPr>
    <w:rPr>
      <w:rFonts w:ascii="Arial" w:eastAsia="Arial" w:hAnsi="Arial" w:cs="Arial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ind w:right="-10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4533</Words>
  <Characters>25843</Characters>
  <Application>Microsoft Office Word</Application>
  <DocSecurity>0</DocSecurity>
  <Lines>215</Lines>
  <Paragraphs>60</Paragraphs>
  <ScaleCrop>false</ScaleCrop>
  <Company/>
  <LinksUpToDate>false</LinksUpToDate>
  <CharactersWithSpaces>30316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3</cp:revision>
  <dcterms:created xsi:type="dcterms:W3CDTF">2026-06-26T18:24:00Z</dcterms:created>
  <dcterms:modified xsi:type="dcterms:W3CDTF">2026-06-26T18:35:00Z</dcterms:modified>
</cp:coreProperties>
</file>