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Глава 6. Проектные решения по системе электроснабжения и электрического освещения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6.1 Общие сведения о системе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 xml:space="preserve">Электрическая система является «сердцем» серверной и обеспечивает надежное электроснабжение всего </w:t>
      </w:r>
      <w:r>
        <w:rPr>
          <w:rFonts w:ascii="Times New Roman" w:hAnsi="Times New Roman" w:cs="Times New Roman"/>
          <w:szCs w:val="24"/>
        </w:rPr>
        <w:t>IT</w:t>
      </w:r>
      <w:r w:rsidRPr="00E87E9D">
        <w:rPr>
          <w:rFonts w:ascii="Times New Roman" w:hAnsi="Times New Roman" w:cs="Times New Roman"/>
          <w:szCs w:val="24"/>
          <w:lang w:val="ru-RU"/>
        </w:rPr>
        <w:t xml:space="preserve">-оборудования и инженерного </w:t>
      </w:r>
      <w:r w:rsidRPr="00E87E9D">
        <w:rPr>
          <w:rFonts w:ascii="Times New Roman" w:hAnsi="Times New Roman" w:cs="Times New Roman"/>
          <w:szCs w:val="24"/>
          <w:lang w:val="ru-RU"/>
        </w:rPr>
        <w:t>оборудования.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В состав электрической системы настоящего проекта входят три основных раздела: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система электроснабжения и распределения электроэнергии;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система бесперебойного электроснабжения (ИБП);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система освещения, включая аварийное освещение.</w:t>
      </w:r>
    </w:p>
    <w:p w:rsidR="001F7FF9" w:rsidRPr="00E87E9D" w:rsidRDefault="00403108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 xml:space="preserve">Все кабели </w:t>
      </w:r>
      <w:r w:rsidRPr="00E87E9D">
        <w:rPr>
          <w:rFonts w:ascii="Times New Roman" w:hAnsi="Times New Roman" w:cs="Times New Roman"/>
          <w:szCs w:val="24"/>
          <w:lang w:val="ru-RU"/>
        </w:rPr>
        <w:t xml:space="preserve">применяются в исполнении </w:t>
      </w:r>
      <w:proofErr w:type="spellStart"/>
      <w:r w:rsidRPr="00E87E9D">
        <w:rPr>
          <w:rFonts w:ascii="Times New Roman" w:hAnsi="Times New Roman" w:cs="Times New Roman"/>
          <w:szCs w:val="24"/>
          <w:lang w:val="ru-RU"/>
        </w:rPr>
        <w:t>нг</w:t>
      </w:r>
      <w:proofErr w:type="spellEnd"/>
      <w:r w:rsidRPr="00E87E9D">
        <w:rPr>
          <w:rFonts w:ascii="Times New Roman" w:hAnsi="Times New Roman" w:cs="Times New Roman"/>
          <w:szCs w:val="24"/>
          <w:lang w:val="ru-RU"/>
        </w:rPr>
        <w:t>-</w:t>
      </w:r>
      <w:r>
        <w:rPr>
          <w:rFonts w:ascii="Times New Roman" w:hAnsi="Times New Roman" w:cs="Times New Roman"/>
          <w:szCs w:val="24"/>
        </w:rPr>
        <w:t>LS</w:t>
      </w:r>
      <w:r w:rsidRPr="00E87E9D">
        <w:rPr>
          <w:rFonts w:ascii="Times New Roman" w:hAnsi="Times New Roman" w:cs="Times New Roman"/>
          <w:szCs w:val="24"/>
          <w:lang w:val="ru-RU"/>
        </w:rPr>
        <w:t xml:space="preserve"> — с низким </w:t>
      </w:r>
      <w:proofErr w:type="spellStart"/>
      <w:r w:rsidRPr="00E87E9D">
        <w:rPr>
          <w:rFonts w:ascii="Times New Roman" w:hAnsi="Times New Roman" w:cs="Times New Roman"/>
          <w:szCs w:val="24"/>
          <w:lang w:val="ru-RU"/>
        </w:rPr>
        <w:t>дымо</w:t>
      </w:r>
      <w:proofErr w:type="spellEnd"/>
      <w:r w:rsidRPr="00E87E9D">
        <w:rPr>
          <w:rFonts w:ascii="Times New Roman" w:hAnsi="Times New Roman" w:cs="Times New Roman"/>
          <w:szCs w:val="24"/>
          <w:lang w:val="ru-RU"/>
        </w:rPr>
        <w:t xml:space="preserve">- и </w:t>
      </w:r>
      <w:proofErr w:type="spellStart"/>
      <w:r w:rsidRPr="00E87E9D">
        <w:rPr>
          <w:rFonts w:ascii="Times New Roman" w:hAnsi="Times New Roman" w:cs="Times New Roman"/>
          <w:szCs w:val="24"/>
          <w:lang w:val="ru-RU"/>
        </w:rPr>
        <w:t>газовыделением</w:t>
      </w:r>
      <w:proofErr w:type="spellEnd"/>
      <w:r w:rsidRPr="00E87E9D">
        <w:rPr>
          <w:rFonts w:ascii="Times New Roman" w:hAnsi="Times New Roman" w:cs="Times New Roman"/>
          <w:szCs w:val="24"/>
          <w:lang w:val="ru-RU"/>
        </w:rPr>
        <w:t xml:space="preserve"> и пониженной горючестью, в соответствии с требованиями пожарной безопасности серверной.</w:t>
      </w:r>
    </w:p>
    <w:p w:rsidR="001F7FF9" w:rsidRPr="00E87E9D" w:rsidRDefault="001F7FF9">
      <w:pPr>
        <w:spacing w:after="0" w:line="360" w:lineRule="auto"/>
        <w:rPr>
          <w:rFonts w:ascii="Times New Roman" w:hAnsi="Times New Roman" w:cs="Times New Roman"/>
          <w:szCs w:val="24"/>
          <w:lang w:val="ru-RU"/>
        </w:rPr>
      </w:pPr>
    </w:p>
    <w:p w:rsidR="001F7FF9" w:rsidRDefault="00403108">
      <w:pPr>
        <w:spacing w:after="0" w:line="360" w:lineRule="auto"/>
        <w:jc w:val="center"/>
        <w:rPr>
          <w:rFonts w:ascii="Times New Roman" w:hAnsi="Times New Roman" w:cs="Times New Roman"/>
          <w:szCs w:val="24"/>
          <w:lang w:eastAsia="zh-CN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114300" distR="114300">
            <wp:extent cx="6212840" cy="3703955"/>
            <wp:effectExtent l="0" t="0" r="10160" b="444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284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FF9" w:rsidRPr="00E87E9D" w:rsidRDefault="00403108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План размещения светильников в помещении после реконструкции</w:t>
      </w:r>
    </w:p>
    <w:p w:rsidR="001F7FF9" w:rsidRDefault="00403108">
      <w:pPr>
        <w:spacing w:after="0" w:line="360" w:lineRule="auto"/>
        <w:jc w:val="both"/>
        <w:rPr>
          <w:rFonts w:ascii="Times New Roman" w:hAnsi="Times New Roman" w:cs="Times New Roman"/>
          <w:szCs w:val="24"/>
          <w:lang w:eastAsia="zh-CN"/>
        </w:rPr>
      </w:pPr>
      <w:r>
        <w:rPr>
          <w:rFonts w:ascii="Times New Roman" w:hAnsi="Times New Roman" w:cs="Times New Roman"/>
          <w:szCs w:val="24"/>
          <w:lang w:eastAsia="zh-CN"/>
        </w:rPr>
        <w:t xml:space="preserve">6.2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Система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электроснабжения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распреде</w:t>
      </w:r>
      <w:r>
        <w:rPr>
          <w:rFonts w:ascii="Times New Roman" w:hAnsi="Times New Roman" w:cs="Times New Roman"/>
          <w:szCs w:val="24"/>
          <w:lang w:eastAsia="zh-CN"/>
        </w:rPr>
        <w:t>ления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электроэнергии</w:t>
      </w:r>
      <w:proofErr w:type="spellEnd"/>
    </w:p>
    <w:p w:rsidR="001F7FF9" w:rsidRDefault="00403108">
      <w:pPr>
        <w:pStyle w:val="21"/>
        <w:spacing w:before="220" w:after="100"/>
        <w:rPr>
          <w:rFonts w:ascii="Times New Roman" w:eastAsia="SimHe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>
            <wp:extent cx="6370955" cy="3740785"/>
            <wp:effectExtent l="0" t="0" r="10795" b="1206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095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FF9" w:rsidRDefault="001F7FF9">
      <w:pPr>
        <w:jc w:val="center"/>
        <w:rPr>
          <w:rFonts w:ascii="Times New Roman" w:hAnsi="Times New Roman" w:cs="Times New Roman"/>
          <w:szCs w:val="24"/>
        </w:rPr>
      </w:pPr>
    </w:p>
    <w:p w:rsidR="001F7FF9" w:rsidRPr="00E87E9D" w:rsidRDefault="00403108">
      <w:pPr>
        <w:pStyle w:val="31"/>
        <w:spacing w:before="180" w:after="80"/>
        <w:jc w:val="center"/>
        <w:rPr>
          <w:rFonts w:ascii="Times New Roman" w:eastAsia="SimSun" w:hAnsi="Times New Roman" w:cs="Times New Roman"/>
          <w:b w:val="0"/>
          <w:bCs w:val="0"/>
          <w:color w:val="auto"/>
          <w:szCs w:val="24"/>
          <w:lang w:val="ru-RU" w:eastAsia="zh-CN"/>
        </w:rPr>
      </w:pPr>
      <w:r w:rsidRPr="00E87E9D">
        <w:rPr>
          <w:rFonts w:ascii="Times New Roman" w:eastAsia="SimSun" w:hAnsi="Times New Roman" w:cs="Times New Roman"/>
          <w:b w:val="0"/>
          <w:bCs w:val="0"/>
          <w:color w:val="auto"/>
          <w:szCs w:val="24"/>
          <w:lang w:val="ru-RU" w:eastAsia="zh-CN"/>
        </w:rPr>
        <w:t>План размещения электрического щита в помещении после реконструкции</w:t>
      </w:r>
    </w:p>
    <w:p w:rsidR="001F7FF9" w:rsidRPr="00E87E9D" w:rsidRDefault="001F7FF9">
      <w:pPr>
        <w:rPr>
          <w:rFonts w:ascii="Times New Roman" w:hAnsi="Times New Roman" w:cs="Times New Roman"/>
          <w:szCs w:val="24"/>
          <w:lang w:val="ru-RU" w:eastAsia="zh-CN"/>
        </w:rPr>
      </w:pP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6.2.1 Монтаж распределительного шкафа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в новой серверной предусматривается 1 отдельный распределительный шкаф, устанавливаемый в помещении ИБП либо рядом со входом 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в серверную для удобства эксплуатации и технического обслуживания;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распределительный шкаф оснащается вводным автоматическим выключателем, автоматическими выключателями входных и выходных цепей ИБП, автоматическими выключателями цепей кондиционеров, освещен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ия, ремонтных розеток и других потребителей; каждая цепь должна иметь независимое управление;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в распределительном шкафу предусматривается устройство защиты от импульсных перенапряжений (</w:t>
      </w:r>
      <w:r>
        <w:rPr>
          <w:rFonts w:ascii="Times New Roman" w:hAnsi="Times New Roman" w:cs="Times New Roman"/>
          <w:szCs w:val="24"/>
          <w:lang w:eastAsia="zh-CN"/>
        </w:rPr>
        <w:t>SPD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) для защиты от грозовых и коммутационных перенапряжений;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отклонени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е шкафа от вертикали не должно превышать 1,5‰; лицевая поверхность шкафа должна быть ровной, маркировка — четкой, все цепи должны иметь соответствующие обозначения.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6.2.2 Прокладка кабелей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Схема прокладки силовых кабелей предусматривает: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lastRenderedPageBreak/>
        <w:t>прокладку двух нез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ависимых питающих кабелей 5×4 мм² от распределительного помещения до отдельного распределительного шкафа в помещении ИБП. Кабели прокладываются в гофрированной трубе для защиты от механических повреждений;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от распределительного помещения до серверной 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прокладывается оцинкованный перфорированный кабельный лоток для силовых кабелей. Размер лотка определяется исходя из количества кабелей. Лотки должны быть надежно закреплены и иметь надежное заземление;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силовые и слаботочные кабели прокладываются в отдельн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ых кабельных лотках. При необходимости пересечения кабелей оно выполняется под прямым углом; расстояние при параллельной прокладке должно быть не менее 300 мм;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на обоих концах каждого кабеля устанавливаются маркировочные бирки с указанием номера кабеля, ег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о сечения/марки, начальной и конечной точек;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после завершения прокладки кабелей выполняется измерение сопротивления изоляции, которое должно составлять не менее 0,5 МОм.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6.2.3 Система бесперебойного электроснабжения (ИБП)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в новой серверной предусматриваютс</w:t>
      </w: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я 2 комплекта ИБП, каждый из которых включает 1 шкаф ИБП и 1 аккумуляторный шкаф, обеспечивающие бесперебойное электроснабжение </w:t>
      </w:r>
      <w:r>
        <w:rPr>
          <w:rFonts w:ascii="Times New Roman" w:hAnsi="Times New Roman" w:cs="Times New Roman"/>
          <w:szCs w:val="24"/>
          <w:lang w:eastAsia="zh-CN"/>
        </w:rPr>
        <w:t>IT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-оборудования серверной;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мощность ИБП определяется исходя из общей нагрузки </w:t>
      </w:r>
      <w:r>
        <w:rPr>
          <w:rFonts w:ascii="Times New Roman" w:hAnsi="Times New Roman" w:cs="Times New Roman"/>
          <w:szCs w:val="24"/>
          <w:lang w:eastAsia="zh-CN"/>
        </w:rPr>
        <w:t>IT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-оборудования серверной с резервом для расширени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я не менее 30 %;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время автономной работы ИБП определяется исходя из требований Заказчика (как правило, не менее 15 минут). В составе аккумуляторных батарей применяются герметичные свинцово-кислотные аккумуляторы с регулируемым клапаном (</w:t>
      </w:r>
      <w:r>
        <w:rPr>
          <w:rFonts w:ascii="Times New Roman" w:hAnsi="Times New Roman" w:cs="Times New Roman"/>
          <w:szCs w:val="24"/>
          <w:lang w:eastAsia="zh-CN"/>
        </w:rPr>
        <w:t>VRLA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);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шкаф ИБП и а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ккумуляторный шкаф устанавливаются на специальной распределительной раме (см. раздел 3.3). Сечение соединительных кабелей между оборудованием должно соответствовать проектным требованиям;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пусконаладочные работы системы ИБП включают: испытание заряда и разр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яда аккумуляторных батарей, испытание переключения на инвертор, испытание переключения на байпас, испытание защиты от перегрузки, проверку функций аварийной сигнализации и другие необходимые испытания.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6.3 Система освещения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6.3.1 Рабочее освещение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в сервер</w:t>
      </w: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ной применяются светодиодные панельные светильники, устанавливаемые в подвесной потолок. Светильники размещаются равномерно, освещенность должна составлять не менее 300 </w:t>
      </w:r>
      <w:proofErr w:type="spellStart"/>
      <w:r w:rsidRPr="00E87E9D">
        <w:rPr>
          <w:rFonts w:ascii="Times New Roman" w:hAnsi="Times New Roman" w:cs="Times New Roman"/>
          <w:szCs w:val="24"/>
          <w:lang w:val="ru-RU" w:eastAsia="zh-CN"/>
        </w:rPr>
        <w:t>лк</w:t>
      </w:r>
      <w:proofErr w:type="spellEnd"/>
      <w:r w:rsidRPr="00E87E9D">
        <w:rPr>
          <w:rFonts w:ascii="Times New Roman" w:hAnsi="Times New Roman" w:cs="Times New Roman"/>
          <w:szCs w:val="24"/>
          <w:lang w:val="ru-RU" w:eastAsia="zh-CN"/>
        </w:rPr>
        <w:t>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lastRenderedPageBreak/>
        <w:t>светильники разделяются на отдельные группы с независимым управлением для обеспечен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ия энергосбережения и удобства технического обслуживания;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светильники должны плотно прилегать к подвесному потолку и не создавать ослепляющего эффекта. Рекомендуемая цветовая температура источников света — 4000 </w:t>
      </w:r>
      <w:r>
        <w:rPr>
          <w:rFonts w:ascii="Times New Roman" w:hAnsi="Times New Roman" w:cs="Times New Roman"/>
          <w:szCs w:val="24"/>
          <w:lang w:eastAsia="zh-CN"/>
        </w:rPr>
        <w:t>K</w:t>
      </w: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 (нейтральный белый свет).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6.3.2 Аварийное о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свещение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в серверной предусматриваются светильники аварийного освещения, освещенность аварийного освещения должна составлять не менее 50 </w:t>
      </w:r>
      <w:proofErr w:type="spellStart"/>
      <w:r w:rsidRPr="00E87E9D">
        <w:rPr>
          <w:rFonts w:ascii="Times New Roman" w:hAnsi="Times New Roman" w:cs="Times New Roman"/>
          <w:szCs w:val="24"/>
          <w:lang w:val="ru-RU" w:eastAsia="zh-CN"/>
        </w:rPr>
        <w:t>лк</w:t>
      </w:r>
      <w:proofErr w:type="spellEnd"/>
      <w:r w:rsidRPr="00E87E9D">
        <w:rPr>
          <w:rFonts w:ascii="Times New Roman" w:hAnsi="Times New Roman" w:cs="Times New Roman"/>
          <w:szCs w:val="24"/>
          <w:lang w:val="ru-RU" w:eastAsia="zh-CN"/>
        </w:rPr>
        <w:t>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продолжительность работы аварийного освещения от резервного источника питания должна составлять не менее 3 часов, ч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то соответствует требованиям пожарной эвакуации;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светильники аварийного освещения должны иметь защиту от воздействия воды (степень защиты </w:t>
      </w:r>
      <w:r>
        <w:rPr>
          <w:rFonts w:ascii="Times New Roman" w:hAnsi="Times New Roman" w:cs="Times New Roman"/>
          <w:szCs w:val="24"/>
          <w:lang w:eastAsia="zh-CN"/>
        </w:rPr>
        <w:t>IP</w:t>
      </w:r>
      <w:r w:rsidRPr="00E87E9D">
        <w:rPr>
          <w:rFonts w:ascii="Times New Roman" w:hAnsi="Times New Roman" w:cs="Times New Roman"/>
          <w:szCs w:val="24"/>
          <w:lang w:val="ru-RU" w:eastAsia="zh-CN"/>
        </w:rPr>
        <w:t xml:space="preserve"> должна соответствовать проектным требованиям). Места установки должны обеспечивать достаточную освещенность эвакуац</w:t>
      </w:r>
      <w:r w:rsidRPr="00E87E9D">
        <w:rPr>
          <w:rFonts w:ascii="Times New Roman" w:hAnsi="Times New Roman" w:cs="Times New Roman"/>
          <w:szCs w:val="24"/>
          <w:lang w:val="ru-RU" w:eastAsia="zh-CN"/>
        </w:rPr>
        <w:t>ионных путей и зон размещения ответственного оборудования;</w:t>
      </w:r>
    </w:p>
    <w:p w:rsidR="001F7FF9" w:rsidRPr="00E87E9D" w:rsidRDefault="00403108">
      <w:pPr>
        <w:rPr>
          <w:rFonts w:ascii="Times New Roman" w:hAnsi="Times New Roman" w:cs="Times New Roman"/>
          <w:szCs w:val="24"/>
          <w:lang w:val="ru-RU" w:eastAsia="zh-CN"/>
        </w:rPr>
      </w:pPr>
      <w:r w:rsidRPr="00E87E9D">
        <w:rPr>
          <w:rFonts w:ascii="Times New Roman" w:hAnsi="Times New Roman" w:cs="Times New Roman"/>
          <w:szCs w:val="24"/>
          <w:lang w:val="ru-RU" w:eastAsia="zh-CN"/>
        </w:rPr>
        <w:t>светильники аварийного освещения размещаются совместно со светильниками рабочего освещения и при отключении электропитания автоматически переходят в аварийный режим.</w:t>
      </w:r>
    </w:p>
    <w:p w:rsidR="001F7FF9" w:rsidRDefault="00403108">
      <w:pPr>
        <w:jc w:val="center"/>
        <w:rPr>
          <w:rFonts w:ascii="Times New Roman" w:hAnsi="Times New Roman" w:cs="Times New Roman"/>
          <w:szCs w:val="24"/>
          <w:lang w:eastAsia="zh-CN"/>
        </w:rPr>
      </w:pPr>
      <w:proofErr w:type="spellStart"/>
      <w:r>
        <w:rPr>
          <w:rFonts w:ascii="Times New Roman" w:hAnsi="Times New Roman" w:cs="Times New Roman"/>
          <w:szCs w:val="24"/>
          <w:lang w:eastAsia="zh-CN"/>
        </w:rPr>
        <w:t>Таблица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6-1.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Основные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материалы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электрической</w:t>
      </w:r>
      <w:proofErr w:type="spellEnd"/>
      <w:r>
        <w:rPr>
          <w:rFonts w:ascii="Times New Roman" w:hAnsi="Times New Roman" w:cs="Times New Roman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eastAsia="zh-CN"/>
        </w:rPr>
        <w:t>системы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743"/>
        <w:gridCol w:w="3528"/>
        <w:gridCol w:w="2574"/>
      </w:tblGrid>
      <w:tr w:rsidR="001F7FF9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материала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Марка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характеристики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  <w:lang w:eastAsia="zh-CN" w:bidi="ar"/>
              </w:rPr>
              <w:t>Назначение</w:t>
            </w:r>
            <w:proofErr w:type="spellEnd"/>
          </w:p>
        </w:tc>
      </w:tr>
      <w:tr w:rsidR="001F7FF9" w:rsidRPr="00E87E9D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Кабель с низким </w:t>
            </w:r>
            <w:proofErr w:type="spellStart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дымо</w:t>
            </w:r>
            <w:proofErr w:type="spellEnd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- и </w:t>
            </w:r>
            <w:proofErr w:type="spellStart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газовыделением</w:t>
            </w:r>
            <w:proofErr w:type="spellEnd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 и пониженной горючестью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нг</w:t>
            </w:r>
            <w:proofErr w:type="spellEnd"/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-</w:t>
            </w: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LS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, сечение определяется расчетом цепи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Основные и распределительные линии электроснабжения</w:t>
            </w:r>
          </w:p>
        </w:tc>
      </w:tr>
      <w:tr w:rsidR="001F7FF9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Оцинкованный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перфорированный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кабельный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лоток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Размер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определяется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количеством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кабелей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Прокладка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силовых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кабелей</w:t>
            </w:r>
            <w:proofErr w:type="spellEnd"/>
          </w:p>
        </w:tc>
      </w:tr>
      <w:tr w:rsidR="001F7FF9" w:rsidRPr="00E87E9D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Гофрированная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труба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Размер соответствует наружному диаметру кабеля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Защита кабелей при прокладке в трубах</w:t>
            </w:r>
          </w:p>
        </w:tc>
      </w:tr>
      <w:tr w:rsidR="001F7FF9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Светодиодный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панельный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светильник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Мощность 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определяется расчетом освещенности, 4000 </w:t>
            </w: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Рабочее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освещение</w:t>
            </w:r>
            <w:proofErr w:type="spellEnd"/>
          </w:p>
        </w:tc>
      </w:tr>
      <w:tr w:rsidR="001F7FF9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Светильник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аварийного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освещения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LED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, резервное питание ≥3 ч, </w:t>
            </w: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IP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Аварийное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освещение</w:t>
            </w:r>
            <w:proofErr w:type="spellEnd"/>
          </w:p>
        </w:tc>
      </w:tr>
      <w:tr w:rsidR="001F7FF9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Распределительный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шкаф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Pr="00E87E9D" w:rsidRDefault="00403108">
            <w:pPr>
              <w:rPr>
                <w:rFonts w:ascii="Times New Roman" w:hAnsi="Times New Roman" w:cs="Times New Roman"/>
                <w:lang w:val="ru-RU"/>
              </w:rPr>
            </w:pP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Изготовление по индивидуальному заказу, включая автоматические выключатели, </w:t>
            </w: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SPD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 xml:space="preserve"> </w:t>
            </w:r>
            <w:r w:rsidRPr="00E87E9D">
              <w:rPr>
                <w:rFonts w:ascii="Times New Roman" w:hAnsi="Times New Roman" w:cs="Times New Roman"/>
                <w:szCs w:val="24"/>
                <w:lang w:val="ru-RU" w:eastAsia="zh-CN" w:bidi="ar"/>
              </w:rPr>
              <w:t>и т. п.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Распределение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электроэнергии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серверной</w:t>
            </w:r>
            <w:proofErr w:type="spellEnd"/>
          </w:p>
        </w:tc>
      </w:tr>
      <w:tr w:rsidR="001F7FF9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Система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ИБП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Шкаф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ИБП +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аккумуляторный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шкаф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1F7FF9" w:rsidRDefault="004031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Бесперебойное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 w:bidi="ar"/>
              </w:rPr>
              <w:t>электроснабжение</w:t>
            </w:r>
            <w:proofErr w:type="spellEnd"/>
          </w:p>
        </w:tc>
      </w:tr>
    </w:tbl>
    <w:p w:rsidR="001F7FF9" w:rsidRPr="00E87E9D" w:rsidRDefault="00403108">
      <w:pPr>
        <w:pStyle w:val="a0"/>
        <w:numPr>
          <w:ilvl w:val="0"/>
          <w:numId w:val="0"/>
        </w:numPr>
        <w:spacing w:line="360" w:lineRule="auto"/>
        <w:ind w:left="65"/>
        <w:rPr>
          <w:rFonts w:ascii="Times New Roman" w:hAnsi="Times New Roman" w:cs="Times New Roman"/>
          <w:szCs w:val="24"/>
          <w:lang w:val="ru-RU"/>
        </w:rPr>
      </w:pPr>
      <w:r w:rsidRPr="00E87E9D">
        <w:rPr>
          <w:rFonts w:ascii="Times New Roman" w:hAnsi="Times New Roman" w:cs="Times New Roman"/>
          <w:szCs w:val="24"/>
          <w:lang w:val="ru-RU"/>
        </w:rPr>
        <w:t>Экстренная связь: на строительной площадке должны находиться аптечка первой помощи и контактные номера экстренной связи, обеспечивающие возможность своевременного вызова помощи при возникновении чрезвычайной ситуации.</w:t>
      </w:r>
    </w:p>
    <w:p w:rsidR="001F7FF9" w:rsidRPr="00E87E9D" w:rsidRDefault="001F7FF9">
      <w:pPr>
        <w:pStyle w:val="a0"/>
        <w:numPr>
          <w:ilvl w:val="0"/>
          <w:numId w:val="0"/>
        </w:numPr>
        <w:spacing w:line="360" w:lineRule="auto"/>
        <w:ind w:left="65"/>
        <w:rPr>
          <w:rFonts w:ascii="Times New Roman" w:hAnsi="Times New Roman" w:cs="Times New Roman"/>
          <w:szCs w:val="24"/>
          <w:lang w:val="ru-RU"/>
        </w:rPr>
      </w:pPr>
    </w:p>
    <w:p w:rsidR="001F7FF9" w:rsidRDefault="001F7FF9">
      <w:pPr>
        <w:pStyle w:val="a0"/>
        <w:numPr>
          <w:ilvl w:val="0"/>
          <w:numId w:val="0"/>
        </w:numPr>
        <w:spacing w:line="360" w:lineRule="auto"/>
        <w:ind w:left="65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1F7FF9" w:rsidRDefault="001F7FF9">
      <w:pPr>
        <w:rPr>
          <w:rFonts w:ascii="Times New Roman" w:hAnsi="Times New Roman" w:cs="Times New Roman"/>
          <w:szCs w:val="24"/>
        </w:rPr>
      </w:pPr>
    </w:p>
    <w:sectPr w:rsidR="001F7FF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108" w:rsidRDefault="00403108">
      <w:pPr>
        <w:spacing w:line="240" w:lineRule="auto"/>
      </w:pPr>
      <w:r>
        <w:separator/>
      </w:r>
    </w:p>
  </w:endnote>
  <w:endnote w:type="continuationSeparator" w:id="0">
    <w:p w:rsidR="00403108" w:rsidRDefault="00403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108" w:rsidRDefault="00403108">
      <w:pPr>
        <w:spacing w:after="0"/>
      </w:pPr>
      <w:r>
        <w:separator/>
      </w:r>
    </w:p>
  </w:footnote>
  <w:footnote w:type="continuationSeparator" w:id="0">
    <w:p w:rsidR="00403108" w:rsidRDefault="004031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g2MDgwNGIxMzIyYWRkMWI2MmI0NzRkMGZmMjllY2MifQ=="/>
  </w:docVars>
  <w:rsids>
    <w:rsidRoot w:val="00B47730"/>
    <w:rsid w:val="00034616"/>
    <w:rsid w:val="0006063C"/>
    <w:rsid w:val="0015074B"/>
    <w:rsid w:val="001F7FF9"/>
    <w:rsid w:val="0029639D"/>
    <w:rsid w:val="00326F90"/>
    <w:rsid w:val="00403108"/>
    <w:rsid w:val="00AA1D8D"/>
    <w:rsid w:val="00B47730"/>
    <w:rsid w:val="00CB0664"/>
    <w:rsid w:val="00E80370"/>
    <w:rsid w:val="00E87E9D"/>
    <w:rsid w:val="00FC693F"/>
    <w:rsid w:val="010333FC"/>
    <w:rsid w:val="01E4382B"/>
    <w:rsid w:val="025A34EF"/>
    <w:rsid w:val="028642E4"/>
    <w:rsid w:val="03C947DD"/>
    <w:rsid w:val="04FF037E"/>
    <w:rsid w:val="06451DC1"/>
    <w:rsid w:val="06F537E7"/>
    <w:rsid w:val="07C531B9"/>
    <w:rsid w:val="0ABF74D6"/>
    <w:rsid w:val="0B161F7E"/>
    <w:rsid w:val="0B454CF7"/>
    <w:rsid w:val="0C177D5B"/>
    <w:rsid w:val="0CEC2F96"/>
    <w:rsid w:val="0DEC7E02"/>
    <w:rsid w:val="0ED463D8"/>
    <w:rsid w:val="0FE24AD4"/>
    <w:rsid w:val="1046354B"/>
    <w:rsid w:val="12280F14"/>
    <w:rsid w:val="12331667"/>
    <w:rsid w:val="12802AFE"/>
    <w:rsid w:val="12887C05"/>
    <w:rsid w:val="14C447F8"/>
    <w:rsid w:val="14FC6B77"/>
    <w:rsid w:val="15B11221"/>
    <w:rsid w:val="16567510"/>
    <w:rsid w:val="1672275E"/>
    <w:rsid w:val="172779EC"/>
    <w:rsid w:val="17B0591C"/>
    <w:rsid w:val="19216677"/>
    <w:rsid w:val="1A073191"/>
    <w:rsid w:val="1B5C096C"/>
    <w:rsid w:val="1BE0460E"/>
    <w:rsid w:val="1C2C7853"/>
    <w:rsid w:val="1DA84CB7"/>
    <w:rsid w:val="1F3C1B5B"/>
    <w:rsid w:val="1F592C68"/>
    <w:rsid w:val="201E74B3"/>
    <w:rsid w:val="20344F28"/>
    <w:rsid w:val="203A0DED"/>
    <w:rsid w:val="226338A3"/>
    <w:rsid w:val="231715D7"/>
    <w:rsid w:val="23C10881"/>
    <w:rsid w:val="255E0351"/>
    <w:rsid w:val="25E62821"/>
    <w:rsid w:val="26FD3A3A"/>
    <w:rsid w:val="2A4346E5"/>
    <w:rsid w:val="2AAF365B"/>
    <w:rsid w:val="2B3E7E60"/>
    <w:rsid w:val="2B430715"/>
    <w:rsid w:val="2C4604BD"/>
    <w:rsid w:val="2C5612F4"/>
    <w:rsid w:val="2D636E4D"/>
    <w:rsid w:val="2DFC4CDE"/>
    <w:rsid w:val="2E1D6FFC"/>
    <w:rsid w:val="2F035F6D"/>
    <w:rsid w:val="2F164660"/>
    <w:rsid w:val="31D65E3F"/>
    <w:rsid w:val="329655CE"/>
    <w:rsid w:val="3421711A"/>
    <w:rsid w:val="342A2472"/>
    <w:rsid w:val="355552CD"/>
    <w:rsid w:val="35DA1C76"/>
    <w:rsid w:val="36156BE6"/>
    <w:rsid w:val="36C344B8"/>
    <w:rsid w:val="36DD6847"/>
    <w:rsid w:val="371D1E1A"/>
    <w:rsid w:val="375F2433"/>
    <w:rsid w:val="37677539"/>
    <w:rsid w:val="39316051"/>
    <w:rsid w:val="396E2E01"/>
    <w:rsid w:val="39897EB2"/>
    <w:rsid w:val="39AE31FE"/>
    <w:rsid w:val="39B50A30"/>
    <w:rsid w:val="39C62C3D"/>
    <w:rsid w:val="3A3F654C"/>
    <w:rsid w:val="3A4B4EF0"/>
    <w:rsid w:val="3ABB2076"/>
    <w:rsid w:val="3AF70BD4"/>
    <w:rsid w:val="3B750477"/>
    <w:rsid w:val="3BDD601C"/>
    <w:rsid w:val="3C3F0A85"/>
    <w:rsid w:val="3CB054DF"/>
    <w:rsid w:val="3D4A4BD7"/>
    <w:rsid w:val="3D6C58AA"/>
    <w:rsid w:val="3DC47494"/>
    <w:rsid w:val="400B13AA"/>
    <w:rsid w:val="40E35E83"/>
    <w:rsid w:val="41326E0A"/>
    <w:rsid w:val="41456B3D"/>
    <w:rsid w:val="42B530EB"/>
    <w:rsid w:val="43212C92"/>
    <w:rsid w:val="434846C3"/>
    <w:rsid w:val="43DB5537"/>
    <w:rsid w:val="442347E8"/>
    <w:rsid w:val="446E0159"/>
    <w:rsid w:val="44872FC9"/>
    <w:rsid w:val="45B24076"/>
    <w:rsid w:val="45CA7A7D"/>
    <w:rsid w:val="460074D7"/>
    <w:rsid w:val="461B60BF"/>
    <w:rsid w:val="46C72CDB"/>
    <w:rsid w:val="475572C6"/>
    <w:rsid w:val="47D604EF"/>
    <w:rsid w:val="47E250E6"/>
    <w:rsid w:val="48671147"/>
    <w:rsid w:val="48D507A7"/>
    <w:rsid w:val="4A4F4589"/>
    <w:rsid w:val="4A897A9B"/>
    <w:rsid w:val="4AE178D7"/>
    <w:rsid w:val="4B4E4840"/>
    <w:rsid w:val="4B6B0F4E"/>
    <w:rsid w:val="4E21623C"/>
    <w:rsid w:val="509B22D6"/>
    <w:rsid w:val="519A7A59"/>
    <w:rsid w:val="5257222D"/>
    <w:rsid w:val="528A0854"/>
    <w:rsid w:val="54843081"/>
    <w:rsid w:val="54B752ED"/>
    <w:rsid w:val="551F43CF"/>
    <w:rsid w:val="557F21C6"/>
    <w:rsid w:val="56B91708"/>
    <w:rsid w:val="58607961"/>
    <w:rsid w:val="59172716"/>
    <w:rsid w:val="59926240"/>
    <w:rsid w:val="5A67147B"/>
    <w:rsid w:val="5B6F6839"/>
    <w:rsid w:val="5BAA5930"/>
    <w:rsid w:val="5CB07109"/>
    <w:rsid w:val="5D086F45"/>
    <w:rsid w:val="5D494E68"/>
    <w:rsid w:val="5DFC2E44"/>
    <w:rsid w:val="5E162F9C"/>
    <w:rsid w:val="5E604B5F"/>
    <w:rsid w:val="5EF77F1A"/>
    <w:rsid w:val="5F047298"/>
    <w:rsid w:val="5F9E064F"/>
    <w:rsid w:val="6042451C"/>
    <w:rsid w:val="607B7A2E"/>
    <w:rsid w:val="60E6759D"/>
    <w:rsid w:val="622C5484"/>
    <w:rsid w:val="62654AD1"/>
    <w:rsid w:val="627B5AC3"/>
    <w:rsid w:val="63402869"/>
    <w:rsid w:val="65224A49"/>
    <w:rsid w:val="6660394E"/>
    <w:rsid w:val="66772A46"/>
    <w:rsid w:val="680B5B3B"/>
    <w:rsid w:val="69463C2B"/>
    <w:rsid w:val="6BCC579A"/>
    <w:rsid w:val="6BE7241B"/>
    <w:rsid w:val="6E0077C5"/>
    <w:rsid w:val="705F4E88"/>
    <w:rsid w:val="713D663A"/>
    <w:rsid w:val="71EC4871"/>
    <w:rsid w:val="72834520"/>
    <w:rsid w:val="73816CB2"/>
    <w:rsid w:val="739A7D73"/>
    <w:rsid w:val="73B40E35"/>
    <w:rsid w:val="74E76FE8"/>
    <w:rsid w:val="75524DAA"/>
    <w:rsid w:val="78202F3D"/>
    <w:rsid w:val="78782D79"/>
    <w:rsid w:val="78C733B9"/>
    <w:rsid w:val="797A667D"/>
    <w:rsid w:val="7A3B1790"/>
    <w:rsid w:val="7AE85868"/>
    <w:rsid w:val="7B0B3EAF"/>
    <w:rsid w:val="7B18614D"/>
    <w:rsid w:val="7BF5023D"/>
    <w:rsid w:val="7CAF4890"/>
    <w:rsid w:val="7CFB5D27"/>
    <w:rsid w:val="7D2F777E"/>
    <w:rsid w:val="7D3E79C1"/>
    <w:rsid w:val="7E8B6C36"/>
    <w:rsid w:val="7ECA35D9"/>
    <w:rsid w:val="7F7B5FC2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0576396-8015-4DEB-A02A-ADF2F2C5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Arial" w:hAnsi="Arial" w:cstheme="minorBidi"/>
      <w:sz w:val="24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af2">
    <w:name w:val="Normal (Web)"/>
    <w:basedOn w:val="a1"/>
    <w:uiPriority w:val="99"/>
    <w:semiHidden/>
    <w:unhideWhenUsed/>
    <w:pPr>
      <w:spacing w:beforeAutospacing="1" w:after="0" w:afterAutospacing="1"/>
    </w:pPr>
    <w:rPr>
      <w:rFonts w:cs="Times New Roman"/>
      <w:lang w:eastAsia="zh-CN"/>
    </w:r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3">
    <w:name w:val="Title"/>
    <w:basedOn w:val="a1"/>
    <w:next w:val="a1"/>
    <w:link w:val="af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5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7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8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9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a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b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c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d">
    <w:name w:val="Strong"/>
    <w:basedOn w:val="a2"/>
    <w:uiPriority w:val="22"/>
    <w:qFormat/>
    <w:rPr>
      <w:b/>
      <w:bCs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customStyle="1" w:styleId="ae">
    <w:name w:val="Верхний колонтитул Знак"/>
    <w:basedOn w:val="a2"/>
    <w:link w:val="ad"/>
    <w:uiPriority w:val="99"/>
    <w:qFormat/>
  </w:style>
  <w:style w:type="character" w:customStyle="1" w:styleId="ac">
    <w:name w:val="Нижний колонтитул Знак"/>
    <w:basedOn w:val="a2"/>
    <w:link w:val="ab"/>
    <w:uiPriority w:val="99"/>
    <w:qFormat/>
  </w:style>
  <w:style w:type="paragraph" w:styleId="aff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4">
    <w:name w:val="Заголовок Знак"/>
    <w:basedOn w:val="a2"/>
    <w:link w:val="af3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Подзаголовок Знак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0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Основной текст Знак"/>
    <w:basedOn w:val="a2"/>
    <w:link w:val="a8"/>
    <w:uiPriority w:val="99"/>
    <w:qFormat/>
  </w:style>
  <w:style w:type="character" w:customStyle="1" w:styleId="25">
    <w:name w:val="Основной текст 2 Знак"/>
    <w:basedOn w:val="a2"/>
    <w:link w:val="24"/>
    <w:uiPriority w:val="99"/>
    <w:qFormat/>
  </w:style>
  <w:style w:type="character" w:customStyle="1" w:styleId="35">
    <w:name w:val="Основной текст 3 Знак"/>
    <w:basedOn w:val="a2"/>
    <w:link w:val="34"/>
    <w:uiPriority w:val="99"/>
    <w:qFormat/>
    <w:rPr>
      <w:sz w:val="16"/>
      <w:szCs w:val="16"/>
    </w:rPr>
  </w:style>
  <w:style w:type="character" w:customStyle="1" w:styleId="a6">
    <w:name w:val="Текст макроса Знак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2a">
    <w:name w:val="Quote"/>
    <w:basedOn w:val="a1"/>
    <w:next w:val="a1"/>
    <w:link w:val="2b"/>
    <w:uiPriority w:val="29"/>
    <w:qFormat/>
    <w:rPr>
      <w:i/>
      <w:iCs/>
      <w:color w:val="000000" w:themeColor="text1"/>
    </w:rPr>
  </w:style>
  <w:style w:type="character" w:customStyle="1" w:styleId="2b">
    <w:name w:val="Цитата 2 Знак"/>
    <w:basedOn w:val="a2"/>
    <w:link w:val="2a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1">
    <w:name w:val="Intense Quote"/>
    <w:basedOn w:val="a1"/>
    <w:next w:val="a1"/>
    <w:link w:val="aff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2">
    <w:name w:val="Выделенная цитата Знак"/>
    <w:basedOn w:val="a2"/>
    <w:link w:val="aff1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paragraph" w:customStyle="1" w:styleId="TableText">
    <w:name w:val="Table Text"/>
    <w:basedOn w:val="a1"/>
    <w:semiHidden/>
    <w:qFormat/>
    <w:rPr>
      <w:rFonts w:ascii="SimSun" w:hAnsi="SimSun" w:cs="SimSun"/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B6BFFE-8E93-4508-A224-2ED6BF58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ARK-1</cp:lastModifiedBy>
  <cp:revision>2</cp:revision>
  <dcterms:created xsi:type="dcterms:W3CDTF">2026-09-07T12:34:00Z</dcterms:created>
  <dcterms:modified xsi:type="dcterms:W3CDTF">2026-09-07T12:34:00Z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eyJoZGlkIjoiNGRhNGUxNTU3NjBmYzBjZmE5MGI2MzIwMmU3NDRhYzYiLCJ1c2VySWQiOiI0MDc4NzQyMTEifQ==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5101F3100D47434BB22359FA936EDFBC_13</vt:lpwstr>
  </property>
</Properties>
</file>